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CCF" w:rsidRDefault="00BA63EF">
      <w:pPr>
        <w:spacing w:line="360" w:lineRule="auto"/>
        <w:jc w:val="center"/>
        <w:rPr>
          <w:rFonts w:asciiTheme="minorEastAsia" w:hAnsiTheme="minorEastAsia" w:cs="Times New Roman"/>
          <w:b/>
          <w:sz w:val="22"/>
          <w:szCs w:val="21"/>
        </w:rPr>
      </w:pPr>
      <w:bookmarkStart w:id="0" w:name="_GoBack"/>
      <w:bookmarkEnd w:id="0"/>
      <w:r>
        <w:rPr>
          <w:rFonts w:asciiTheme="minorEastAsia" w:hAnsiTheme="minorEastAsia" w:cs="Times New Roman" w:hint="eastAsia"/>
          <w:b/>
          <w:sz w:val="22"/>
          <w:szCs w:val="21"/>
        </w:rPr>
        <w:t>通用流感疫苗研究领域科技文献分析报告要求</w:t>
      </w:r>
    </w:p>
    <w:p w:rsidR="00A36CCF" w:rsidRDefault="00A36CCF">
      <w:pPr>
        <w:spacing w:line="360" w:lineRule="auto"/>
        <w:jc w:val="center"/>
        <w:rPr>
          <w:rFonts w:asciiTheme="minorEastAsia" w:hAnsiTheme="minorEastAsia" w:cs="Times New Roman"/>
          <w:b/>
          <w:sz w:val="22"/>
          <w:szCs w:val="21"/>
        </w:rPr>
      </w:pPr>
    </w:p>
    <w:p w:rsidR="00A36CCF" w:rsidRDefault="00BA63EF">
      <w:pPr>
        <w:spacing w:line="360" w:lineRule="auto"/>
        <w:rPr>
          <w:rFonts w:asciiTheme="minorEastAsia" w:hAnsiTheme="minorEastAsia" w:cs="Times New Roman"/>
          <w:b/>
          <w:szCs w:val="21"/>
        </w:rPr>
      </w:pPr>
      <w:r>
        <w:rPr>
          <w:rFonts w:asciiTheme="minorEastAsia" w:hAnsiTheme="minorEastAsia" w:cs="Times New Roman" w:hint="eastAsia"/>
          <w:b/>
          <w:szCs w:val="21"/>
        </w:rPr>
        <w:t>1.</w:t>
      </w:r>
      <w:r>
        <w:rPr>
          <w:rFonts w:asciiTheme="minorEastAsia" w:hAnsiTheme="minorEastAsia" w:cs="Times New Roman" w:hint="eastAsia"/>
          <w:b/>
          <w:szCs w:val="21"/>
        </w:rPr>
        <w:t>报告用途</w:t>
      </w:r>
    </w:p>
    <w:p w:rsidR="00A36CCF" w:rsidRDefault="00BA63EF">
      <w:pPr>
        <w:spacing w:line="360" w:lineRule="auto"/>
        <w:ind w:firstLineChars="200" w:firstLine="420"/>
        <w:rPr>
          <w:rFonts w:asciiTheme="minorEastAsia" w:hAnsiTheme="minorEastAsia"/>
        </w:rPr>
      </w:pPr>
      <w:r>
        <w:rPr>
          <w:rFonts w:asciiTheme="minorEastAsia" w:hAnsiTheme="minorEastAsia" w:hint="eastAsia"/>
        </w:rPr>
        <w:t>用于</w:t>
      </w:r>
      <w:r>
        <w:rPr>
          <w:rFonts w:asciiTheme="minorEastAsia" w:hAnsiTheme="minorEastAsia" w:hint="eastAsia"/>
          <w:lang w:val="en-GB"/>
        </w:rPr>
        <w:t>分析通用流感疫苗研究领域的产出情况及发展趋势，识别全球重要的研究方向。</w:t>
      </w:r>
    </w:p>
    <w:p w:rsidR="00A36CCF" w:rsidRDefault="00BA63EF">
      <w:pPr>
        <w:spacing w:line="360" w:lineRule="auto"/>
        <w:rPr>
          <w:rFonts w:asciiTheme="minorEastAsia" w:hAnsiTheme="minorEastAsia" w:cs="Times New Roman"/>
          <w:b/>
          <w:szCs w:val="21"/>
        </w:rPr>
      </w:pPr>
      <w:r>
        <w:rPr>
          <w:rFonts w:asciiTheme="minorEastAsia" w:hAnsiTheme="minorEastAsia" w:cs="Times New Roman"/>
          <w:b/>
          <w:szCs w:val="21"/>
        </w:rPr>
        <w:t>2</w:t>
      </w:r>
      <w:r>
        <w:rPr>
          <w:rFonts w:asciiTheme="minorEastAsia" w:hAnsiTheme="minorEastAsia" w:cs="Times New Roman" w:hint="eastAsia"/>
          <w:b/>
          <w:szCs w:val="21"/>
        </w:rPr>
        <w:t>.</w:t>
      </w:r>
      <w:r>
        <w:rPr>
          <w:rFonts w:asciiTheme="minorEastAsia" w:hAnsiTheme="minorEastAsia" w:cs="Times New Roman" w:hint="eastAsia"/>
          <w:b/>
          <w:szCs w:val="21"/>
        </w:rPr>
        <w:t>主要内容</w:t>
      </w:r>
    </w:p>
    <w:p w:rsidR="00A36CCF" w:rsidRDefault="00BA63EF">
      <w:pPr>
        <w:spacing w:line="360" w:lineRule="auto"/>
        <w:ind w:firstLineChars="200" w:firstLine="420"/>
        <w:rPr>
          <w:rFonts w:asciiTheme="minorEastAsia" w:hAnsiTheme="minorEastAsia" w:cs="Times New Roman"/>
          <w:szCs w:val="21"/>
        </w:rPr>
      </w:pPr>
      <w:r>
        <w:rPr>
          <w:rFonts w:asciiTheme="minorEastAsia" w:hAnsiTheme="minorEastAsia" w:hint="eastAsia"/>
          <w:lang w:val="fr-FR"/>
        </w:rPr>
        <w:t>采用国际通行的文献计量分析方法，基于</w:t>
      </w:r>
      <w:r>
        <w:rPr>
          <w:rFonts w:asciiTheme="minorEastAsia" w:hAnsiTheme="minorEastAsia" w:hint="eastAsia"/>
          <w:lang w:val="fr-FR"/>
        </w:rPr>
        <w:t>2</w:t>
      </w:r>
      <w:r>
        <w:rPr>
          <w:rFonts w:asciiTheme="minorEastAsia" w:hAnsiTheme="minorEastAsia"/>
          <w:lang w:val="fr-FR"/>
        </w:rPr>
        <w:t>010</w:t>
      </w:r>
      <w:r>
        <w:rPr>
          <w:rFonts w:asciiTheme="minorEastAsia" w:hAnsiTheme="minorEastAsia" w:hint="eastAsia"/>
          <w:lang w:val="fr-FR"/>
        </w:rPr>
        <w:t>年至</w:t>
      </w:r>
      <w:r>
        <w:rPr>
          <w:rFonts w:asciiTheme="minorEastAsia" w:hAnsiTheme="minorEastAsia" w:hint="eastAsia"/>
          <w:lang w:val="fr-FR"/>
        </w:rPr>
        <w:t>2</w:t>
      </w:r>
      <w:r>
        <w:rPr>
          <w:rFonts w:asciiTheme="minorEastAsia" w:hAnsiTheme="minorEastAsia"/>
          <w:lang w:val="fr-FR"/>
        </w:rPr>
        <w:t>020</w:t>
      </w:r>
      <w:r>
        <w:rPr>
          <w:rFonts w:asciiTheme="minorEastAsia" w:hAnsiTheme="minorEastAsia" w:hint="eastAsia"/>
          <w:lang w:val="fr-FR"/>
        </w:rPr>
        <w:t>年</w:t>
      </w:r>
      <w:r>
        <w:rPr>
          <w:rFonts w:asciiTheme="minorEastAsia" w:hAnsiTheme="minorEastAsia" w:hint="eastAsia"/>
          <w:lang w:val="fr-FR"/>
        </w:rPr>
        <w:t>Web</w:t>
      </w:r>
      <w:r>
        <w:rPr>
          <w:rFonts w:asciiTheme="minorEastAsia" w:hAnsiTheme="minorEastAsia"/>
          <w:lang w:val="fr-FR"/>
        </w:rPr>
        <w:t xml:space="preserve"> of Science</w:t>
      </w:r>
      <w:r>
        <w:rPr>
          <w:rFonts w:asciiTheme="minorEastAsia" w:hAnsiTheme="minorEastAsia"/>
          <w:vertAlign w:val="superscript"/>
          <w:lang w:val="fr-FR"/>
        </w:rPr>
        <w:t>TM</w:t>
      </w:r>
      <w:r>
        <w:rPr>
          <w:rFonts w:asciiTheme="minorEastAsia" w:hAnsiTheme="minorEastAsia" w:hint="eastAsia"/>
          <w:lang w:val="fr-FR"/>
        </w:rPr>
        <w:t>核心合集数据库收录的论文数据，从国别、机构和科研人员三个层面揭示</w:t>
      </w:r>
      <w:r>
        <w:rPr>
          <w:rFonts w:asciiTheme="minorEastAsia" w:hAnsiTheme="minorEastAsia" w:hint="eastAsia"/>
          <w:lang w:val="en-GB"/>
        </w:rPr>
        <w:t>通用流感疫苗</w:t>
      </w:r>
      <w:r>
        <w:rPr>
          <w:rFonts w:asciiTheme="minorEastAsia" w:hAnsiTheme="minorEastAsia" w:hint="eastAsia"/>
          <w:lang w:val="fr-FR"/>
        </w:rPr>
        <w:t>研究领域的现状及发展趋势。同时结合共被引分析方法生成若干新兴研究方向，进一步追踪该领域的最新进展和发展方向。主要分析内容包含</w:t>
      </w:r>
      <w:r>
        <w:rPr>
          <w:rFonts w:asciiTheme="minorEastAsia" w:hAnsiTheme="minorEastAsia" w:hint="eastAsia"/>
          <w:lang w:val="fr-FR"/>
        </w:rPr>
        <w:t>:</w:t>
      </w:r>
    </w:p>
    <w:p w:rsidR="00A36CCF" w:rsidRDefault="00BA63EF">
      <w:pPr>
        <w:spacing w:line="360" w:lineRule="auto"/>
        <w:rPr>
          <w:rFonts w:asciiTheme="minorEastAsia" w:hAnsiTheme="minorEastAsia" w:cs="Arial"/>
          <w:bCs/>
          <w:color w:val="000000"/>
          <w:sz w:val="22"/>
          <w:lang w:val="en-GB"/>
        </w:rPr>
      </w:pPr>
      <w:r>
        <w:rPr>
          <w:rFonts w:asciiTheme="minorEastAsia" w:hAnsiTheme="minorEastAsia" w:cs="Arial" w:hint="eastAsia"/>
          <w:bCs/>
          <w:color w:val="000000"/>
          <w:sz w:val="22"/>
        </w:rPr>
        <w:t>第</w:t>
      </w:r>
      <w:r>
        <w:rPr>
          <w:rFonts w:asciiTheme="minorEastAsia" w:hAnsiTheme="minorEastAsia" w:cs="Arial" w:hint="eastAsia"/>
          <w:bCs/>
          <w:color w:val="000000"/>
          <w:sz w:val="22"/>
        </w:rPr>
        <w:t>1</w:t>
      </w:r>
      <w:r>
        <w:rPr>
          <w:rFonts w:asciiTheme="minorEastAsia" w:hAnsiTheme="minorEastAsia" w:cs="Arial" w:hint="eastAsia"/>
          <w:bCs/>
          <w:color w:val="000000"/>
          <w:sz w:val="22"/>
        </w:rPr>
        <w:t>部分</w:t>
      </w:r>
      <w:r>
        <w:rPr>
          <w:rFonts w:asciiTheme="minorEastAsia" w:hAnsiTheme="minorEastAsia" w:cs="Arial"/>
          <w:bCs/>
          <w:color w:val="000000"/>
          <w:sz w:val="22"/>
        </w:rPr>
        <w:t>，</w:t>
      </w:r>
      <w:r>
        <w:rPr>
          <w:rFonts w:asciiTheme="minorEastAsia" w:hAnsiTheme="minorEastAsia" w:cs="Arial" w:hint="eastAsia"/>
          <w:sz w:val="22"/>
          <w:szCs w:val="22"/>
        </w:rPr>
        <w:t>通用流感疫苗</w:t>
      </w:r>
      <w:r>
        <w:rPr>
          <w:rFonts w:asciiTheme="minorEastAsia" w:hAnsiTheme="minorEastAsia" w:cs="Arial" w:hint="eastAsia"/>
          <w:bCs/>
          <w:color w:val="000000"/>
          <w:sz w:val="22"/>
        </w:rPr>
        <w:t>领域科技文献分析</w:t>
      </w:r>
    </w:p>
    <w:p w:rsidR="00A36CCF" w:rsidRDefault="00BA63EF">
      <w:pPr>
        <w:pStyle w:val="aa"/>
        <w:numPr>
          <w:ilvl w:val="0"/>
          <w:numId w:val="1"/>
        </w:numPr>
        <w:spacing w:line="360" w:lineRule="auto"/>
        <w:ind w:firstLineChars="0"/>
        <w:contextualSpacing/>
        <w:jc w:val="left"/>
        <w:rPr>
          <w:rFonts w:asciiTheme="minorEastAsia" w:hAnsiTheme="minorEastAsia" w:cs="Arial"/>
          <w:bCs/>
          <w:color w:val="000000"/>
          <w:sz w:val="22"/>
        </w:rPr>
      </w:pPr>
      <w:r>
        <w:rPr>
          <w:rFonts w:asciiTheme="minorEastAsia" w:hAnsiTheme="minorEastAsia" w:cs="Arial" w:hint="eastAsia"/>
          <w:bCs/>
          <w:color w:val="000000"/>
          <w:sz w:val="22"/>
        </w:rPr>
        <w:t>研究领域整体发文趋势分析</w:t>
      </w:r>
    </w:p>
    <w:p w:rsidR="00A36CCF" w:rsidRDefault="00BA63EF">
      <w:pPr>
        <w:pStyle w:val="aa"/>
        <w:numPr>
          <w:ilvl w:val="0"/>
          <w:numId w:val="1"/>
        </w:numPr>
        <w:spacing w:line="360" w:lineRule="auto"/>
        <w:ind w:firstLineChars="0"/>
        <w:contextualSpacing/>
        <w:jc w:val="left"/>
        <w:rPr>
          <w:rFonts w:asciiTheme="minorEastAsia" w:hAnsiTheme="minorEastAsia" w:cs="Arial"/>
          <w:bCs/>
          <w:color w:val="000000"/>
          <w:sz w:val="22"/>
        </w:rPr>
      </w:pPr>
      <w:r>
        <w:rPr>
          <w:rFonts w:asciiTheme="minorEastAsia" w:hAnsiTheme="minorEastAsia" w:cs="Arial" w:hint="eastAsia"/>
          <w:bCs/>
          <w:color w:val="000000"/>
          <w:sz w:val="22"/>
        </w:rPr>
        <w:t>全球发文量</w:t>
      </w:r>
      <w:r>
        <w:rPr>
          <w:rFonts w:asciiTheme="minorEastAsia" w:hAnsiTheme="minorEastAsia" w:cs="Arial" w:hint="eastAsia"/>
          <w:bCs/>
          <w:color w:val="000000"/>
          <w:sz w:val="22"/>
        </w:rPr>
        <w:t>top</w:t>
      </w:r>
      <w:r>
        <w:rPr>
          <w:rFonts w:asciiTheme="minorEastAsia" w:hAnsiTheme="minorEastAsia" w:cs="Arial"/>
          <w:bCs/>
          <w:color w:val="000000"/>
          <w:sz w:val="22"/>
        </w:rPr>
        <w:t>10</w:t>
      </w:r>
      <w:r>
        <w:rPr>
          <w:rFonts w:asciiTheme="minorEastAsia" w:hAnsiTheme="minorEastAsia" w:cs="Arial" w:hint="eastAsia"/>
          <w:bCs/>
          <w:color w:val="000000"/>
          <w:sz w:val="22"/>
        </w:rPr>
        <w:t>国家</w:t>
      </w:r>
      <w:r>
        <w:rPr>
          <w:rFonts w:asciiTheme="minorEastAsia" w:hAnsiTheme="minorEastAsia" w:cs="Arial" w:hint="eastAsia"/>
          <w:bCs/>
          <w:color w:val="000000"/>
          <w:sz w:val="22"/>
        </w:rPr>
        <w:t>/</w:t>
      </w:r>
      <w:r>
        <w:rPr>
          <w:rFonts w:asciiTheme="minorEastAsia" w:hAnsiTheme="minorEastAsia" w:cs="Arial" w:hint="eastAsia"/>
          <w:bCs/>
          <w:color w:val="000000"/>
          <w:sz w:val="22"/>
        </w:rPr>
        <w:t>地区（包含中国）发文趋势分析</w:t>
      </w:r>
    </w:p>
    <w:p w:rsidR="00A36CCF" w:rsidRDefault="00BA63EF">
      <w:pPr>
        <w:pStyle w:val="aa"/>
        <w:numPr>
          <w:ilvl w:val="0"/>
          <w:numId w:val="1"/>
        </w:numPr>
        <w:spacing w:line="360" w:lineRule="auto"/>
        <w:ind w:firstLineChars="0"/>
        <w:contextualSpacing/>
        <w:jc w:val="left"/>
        <w:rPr>
          <w:rFonts w:asciiTheme="minorEastAsia" w:hAnsiTheme="minorEastAsia" w:cs="Arial"/>
          <w:bCs/>
          <w:color w:val="000000"/>
          <w:sz w:val="22"/>
        </w:rPr>
      </w:pPr>
      <w:r>
        <w:rPr>
          <w:rFonts w:asciiTheme="minorEastAsia" w:hAnsiTheme="minorEastAsia" w:cs="Arial" w:hint="eastAsia"/>
          <w:bCs/>
          <w:color w:val="000000"/>
          <w:sz w:val="22"/>
        </w:rPr>
        <w:t>全球</w:t>
      </w:r>
      <w:r>
        <w:rPr>
          <w:rFonts w:asciiTheme="minorEastAsia" w:hAnsiTheme="minorEastAsia" w:cs="Arial" w:hint="eastAsia"/>
          <w:bCs/>
          <w:color w:val="000000"/>
          <w:sz w:val="22"/>
        </w:rPr>
        <w:t>/</w:t>
      </w:r>
      <w:r>
        <w:rPr>
          <w:rFonts w:asciiTheme="minorEastAsia" w:hAnsiTheme="minorEastAsia" w:cs="Arial" w:hint="eastAsia"/>
          <w:bCs/>
          <w:color w:val="000000"/>
          <w:sz w:val="22"/>
        </w:rPr>
        <w:t>中国发文量</w:t>
      </w:r>
      <w:r>
        <w:rPr>
          <w:rFonts w:asciiTheme="minorEastAsia" w:hAnsiTheme="minorEastAsia" w:cs="Arial" w:hint="eastAsia"/>
          <w:bCs/>
          <w:color w:val="000000"/>
          <w:sz w:val="22"/>
        </w:rPr>
        <w:t>top</w:t>
      </w:r>
      <w:r>
        <w:rPr>
          <w:rFonts w:asciiTheme="minorEastAsia" w:hAnsiTheme="minorEastAsia" w:cs="Arial"/>
          <w:bCs/>
          <w:color w:val="000000"/>
          <w:sz w:val="22"/>
        </w:rPr>
        <w:t>10</w:t>
      </w:r>
      <w:r>
        <w:rPr>
          <w:rFonts w:asciiTheme="minorEastAsia" w:hAnsiTheme="minorEastAsia" w:cs="Arial" w:hint="eastAsia"/>
          <w:bCs/>
          <w:color w:val="000000"/>
          <w:sz w:val="22"/>
        </w:rPr>
        <w:t>科研机构发文趋势分析</w:t>
      </w:r>
    </w:p>
    <w:p w:rsidR="00A36CCF" w:rsidRDefault="00BA63EF">
      <w:pPr>
        <w:pStyle w:val="aa"/>
        <w:numPr>
          <w:ilvl w:val="0"/>
          <w:numId w:val="1"/>
        </w:numPr>
        <w:spacing w:line="360" w:lineRule="auto"/>
        <w:ind w:firstLineChars="0"/>
        <w:contextualSpacing/>
        <w:jc w:val="left"/>
        <w:rPr>
          <w:rFonts w:asciiTheme="minorEastAsia" w:hAnsiTheme="minorEastAsia" w:cs="Arial"/>
          <w:bCs/>
          <w:color w:val="000000"/>
          <w:sz w:val="22"/>
        </w:rPr>
      </w:pPr>
      <w:r>
        <w:rPr>
          <w:rFonts w:asciiTheme="minorEastAsia" w:hAnsiTheme="minorEastAsia" w:cs="Arial" w:hint="eastAsia"/>
          <w:bCs/>
          <w:color w:val="000000"/>
          <w:sz w:val="22"/>
        </w:rPr>
        <w:t>全球</w:t>
      </w:r>
      <w:r>
        <w:rPr>
          <w:rFonts w:asciiTheme="minorEastAsia" w:hAnsiTheme="minorEastAsia" w:cs="Arial" w:hint="eastAsia"/>
          <w:bCs/>
          <w:color w:val="000000"/>
          <w:sz w:val="22"/>
        </w:rPr>
        <w:t>/</w:t>
      </w:r>
      <w:r>
        <w:rPr>
          <w:rFonts w:asciiTheme="minorEastAsia" w:hAnsiTheme="minorEastAsia" w:cs="Arial" w:hint="eastAsia"/>
          <w:bCs/>
          <w:color w:val="000000"/>
          <w:sz w:val="22"/>
        </w:rPr>
        <w:t>中国发文量</w:t>
      </w:r>
      <w:r>
        <w:rPr>
          <w:rFonts w:asciiTheme="minorEastAsia" w:hAnsiTheme="minorEastAsia" w:cs="Arial" w:hint="eastAsia"/>
          <w:bCs/>
          <w:color w:val="000000"/>
          <w:sz w:val="22"/>
        </w:rPr>
        <w:t>top</w:t>
      </w:r>
      <w:r>
        <w:rPr>
          <w:rFonts w:asciiTheme="minorEastAsia" w:hAnsiTheme="minorEastAsia" w:cs="Arial"/>
          <w:bCs/>
          <w:color w:val="000000"/>
          <w:sz w:val="22"/>
        </w:rPr>
        <w:t>10</w:t>
      </w:r>
      <w:r>
        <w:rPr>
          <w:rFonts w:asciiTheme="minorEastAsia" w:hAnsiTheme="minorEastAsia" w:cs="Arial" w:hint="eastAsia"/>
          <w:bCs/>
          <w:color w:val="000000"/>
          <w:sz w:val="22"/>
        </w:rPr>
        <w:t>科研人员发文趋势分析</w:t>
      </w:r>
    </w:p>
    <w:p w:rsidR="00A36CCF" w:rsidRDefault="00BA63EF">
      <w:pPr>
        <w:spacing w:line="360" w:lineRule="auto"/>
        <w:rPr>
          <w:rFonts w:asciiTheme="minorEastAsia" w:hAnsiTheme="minorEastAsia" w:cs="Arial"/>
          <w:bCs/>
          <w:color w:val="000000"/>
          <w:sz w:val="22"/>
        </w:rPr>
      </w:pPr>
      <w:r>
        <w:rPr>
          <w:rFonts w:asciiTheme="minorEastAsia" w:hAnsiTheme="minorEastAsia" w:cs="Arial" w:hint="eastAsia"/>
          <w:bCs/>
          <w:color w:val="000000"/>
          <w:sz w:val="22"/>
        </w:rPr>
        <w:t>第</w:t>
      </w:r>
      <w:r>
        <w:rPr>
          <w:rFonts w:asciiTheme="minorEastAsia" w:hAnsiTheme="minorEastAsia" w:cs="Arial" w:hint="eastAsia"/>
          <w:bCs/>
          <w:color w:val="000000"/>
          <w:sz w:val="22"/>
        </w:rPr>
        <w:t>2</w:t>
      </w:r>
      <w:r>
        <w:rPr>
          <w:rFonts w:asciiTheme="minorEastAsia" w:hAnsiTheme="minorEastAsia" w:cs="Arial" w:hint="eastAsia"/>
          <w:bCs/>
          <w:color w:val="000000"/>
          <w:sz w:val="22"/>
        </w:rPr>
        <w:t>部分</w:t>
      </w:r>
      <w:r>
        <w:rPr>
          <w:rFonts w:asciiTheme="minorEastAsia" w:hAnsiTheme="minorEastAsia" w:cs="Arial"/>
          <w:bCs/>
          <w:color w:val="000000"/>
          <w:sz w:val="22"/>
        </w:rPr>
        <w:t>，</w:t>
      </w:r>
      <w:r>
        <w:rPr>
          <w:rFonts w:asciiTheme="minorEastAsia" w:hAnsiTheme="minorEastAsia" w:cs="Arial" w:hint="eastAsia"/>
          <w:bCs/>
          <w:color w:val="000000"/>
          <w:sz w:val="22"/>
        </w:rPr>
        <w:t>通用流感疫苗领域新兴研究方向（</w:t>
      </w:r>
      <w:r>
        <w:rPr>
          <w:rFonts w:asciiTheme="minorEastAsia" w:hAnsiTheme="minorEastAsia" w:cs="Arial" w:hint="eastAsia"/>
          <w:bCs/>
          <w:color w:val="000000"/>
          <w:sz w:val="22"/>
        </w:rPr>
        <w:t>ERA</w:t>
      </w:r>
      <w:r>
        <w:rPr>
          <w:rFonts w:asciiTheme="minorEastAsia" w:hAnsiTheme="minorEastAsia" w:cs="Arial" w:hint="eastAsia"/>
          <w:bCs/>
          <w:color w:val="000000"/>
          <w:sz w:val="22"/>
        </w:rPr>
        <w:t>）分析</w:t>
      </w:r>
    </w:p>
    <w:p w:rsidR="00A36CCF" w:rsidRDefault="00BA63EF">
      <w:pPr>
        <w:pStyle w:val="aa"/>
        <w:widowControl/>
        <w:numPr>
          <w:ilvl w:val="0"/>
          <w:numId w:val="2"/>
        </w:numPr>
        <w:spacing w:line="360" w:lineRule="auto"/>
        <w:ind w:firstLineChars="0"/>
        <w:contextualSpacing/>
        <w:jc w:val="left"/>
        <w:rPr>
          <w:rFonts w:asciiTheme="minorEastAsia" w:hAnsiTheme="minorEastAsia" w:cs="Arial"/>
          <w:bCs/>
          <w:color w:val="000000"/>
          <w:sz w:val="22"/>
        </w:rPr>
      </w:pPr>
      <w:r>
        <w:rPr>
          <w:rFonts w:asciiTheme="minorEastAsia" w:hAnsiTheme="minorEastAsia" w:cs="Arial" w:hint="eastAsia"/>
          <w:bCs/>
          <w:color w:val="000000"/>
          <w:sz w:val="22"/>
        </w:rPr>
        <w:t>与该领域最相关的</w:t>
      </w:r>
      <w:r>
        <w:rPr>
          <w:rFonts w:asciiTheme="minorEastAsia" w:hAnsiTheme="minorEastAsia" w:cs="Arial" w:hint="eastAsia"/>
          <w:bCs/>
          <w:color w:val="000000"/>
          <w:sz w:val="22"/>
        </w:rPr>
        <w:t>10</w:t>
      </w:r>
      <w:r>
        <w:rPr>
          <w:rFonts w:asciiTheme="minorEastAsia" w:hAnsiTheme="minorEastAsia" w:cs="Arial" w:hint="eastAsia"/>
          <w:bCs/>
          <w:color w:val="000000"/>
          <w:sz w:val="22"/>
        </w:rPr>
        <w:t>个研究方向</w:t>
      </w:r>
    </w:p>
    <w:p w:rsidR="00A36CCF" w:rsidRDefault="00BA63EF">
      <w:pPr>
        <w:pStyle w:val="aa"/>
        <w:widowControl/>
        <w:numPr>
          <w:ilvl w:val="0"/>
          <w:numId w:val="2"/>
        </w:numPr>
        <w:spacing w:line="360" w:lineRule="auto"/>
        <w:ind w:firstLineChars="0"/>
        <w:contextualSpacing/>
        <w:jc w:val="left"/>
        <w:rPr>
          <w:rFonts w:asciiTheme="minorEastAsia" w:hAnsiTheme="minorEastAsia" w:cs="Arial"/>
          <w:bCs/>
          <w:color w:val="000000"/>
          <w:sz w:val="22"/>
        </w:rPr>
      </w:pPr>
      <w:r>
        <w:rPr>
          <w:rFonts w:asciiTheme="minorEastAsia" w:hAnsiTheme="minorEastAsia" w:cs="Arial" w:hint="eastAsia"/>
          <w:bCs/>
          <w:color w:val="000000"/>
          <w:sz w:val="22"/>
        </w:rPr>
        <w:t>最新出现的</w:t>
      </w:r>
      <w:r>
        <w:rPr>
          <w:rFonts w:asciiTheme="minorEastAsia" w:hAnsiTheme="minorEastAsia" w:cs="Arial" w:hint="eastAsia"/>
          <w:bCs/>
          <w:color w:val="000000"/>
          <w:sz w:val="22"/>
        </w:rPr>
        <w:t>10</w:t>
      </w:r>
      <w:r>
        <w:rPr>
          <w:rFonts w:asciiTheme="minorEastAsia" w:hAnsiTheme="minorEastAsia" w:cs="Arial" w:hint="eastAsia"/>
          <w:bCs/>
          <w:color w:val="000000"/>
          <w:sz w:val="22"/>
        </w:rPr>
        <w:t>个研究方向</w:t>
      </w:r>
    </w:p>
    <w:p w:rsidR="00A36CCF" w:rsidRDefault="00BA63EF">
      <w:pPr>
        <w:pStyle w:val="aa"/>
        <w:widowControl/>
        <w:numPr>
          <w:ilvl w:val="0"/>
          <w:numId w:val="2"/>
        </w:numPr>
        <w:spacing w:line="360" w:lineRule="auto"/>
        <w:ind w:firstLineChars="0"/>
        <w:contextualSpacing/>
        <w:jc w:val="left"/>
        <w:rPr>
          <w:rFonts w:asciiTheme="minorEastAsia" w:hAnsiTheme="minorEastAsia" w:cs="Arial"/>
          <w:bCs/>
          <w:color w:val="000000"/>
          <w:sz w:val="22"/>
        </w:rPr>
      </w:pPr>
      <w:r>
        <w:rPr>
          <w:rFonts w:asciiTheme="minorEastAsia" w:hAnsiTheme="minorEastAsia" w:cs="Arial" w:hint="eastAsia"/>
          <w:bCs/>
          <w:color w:val="000000"/>
          <w:sz w:val="22"/>
        </w:rPr>
        <w:t>发展较为迅速的</w:t>
      </w:r>
      <w:r>
        <w:rPr>
          <w:rFonts w:asciiTheme="minorEastAsia" w:hAnsiTheme="minorEastAsia" w:cs="Arial" w:hint="eastAsia"/>
          <w:bCs/>
          <w:color w:val="000000"/>
          <w:sz w:val="22"/>
        </w:rPr>
        <w:t>10</w:t>
      </w:r>
      <w:r>
        <w:rPr>
          <w:rFonts w:asciiTheme="minorEastAsia" w:hAnsiTheme="minorEastAsia" w:cs="Arial" w:hint="eastAsia"/>
          <w:bCs/>
          <w:color w:val="000000"/>
          <w:sz w:val="22"/>
        </w:rPr>
        <w:t>个研究方向</w:t>
      </w:r>
    </w:p>
    <w:p w:rsidR="00A36CCF" w:rsidRDefault="00BA63EF">
      <w:pPr>
        <w:pStyle w:val="aa"/>
        <w:widowControl/>
        <w:numPr>
          <w:ilvl w:val="0"/>
          <w:numId w:val="2"/>
        </w:numPr>
        <w:spacing w:line="360" w:lineRule="auto"/>
        <w:ind w:firstLineChars="0"/>
        <w:contextualSpacing/>
        <w:jc w:val="left"/>
        <w:rPr>
          <w:rFonts w:asciiTheme="minorEastAsia" w:hAnsiTheme="minorEastAsia" w:cs="Arial"/>
          <w:bCs/>
          <w:color w:val="000000"/>
          <w:sz w:val="22"/>
        </w:rPr>
      </w:pPr>
      <w:r>
        <w:rPr>
          <w:rFonts w:asciiTheme="minorEastAsia" w:hAnsiTheme="minorEastAsia" w:cs="Arial" w:hint="eastAsia"/>
          <w:bCs/>
          <w:color w:val="000000"/>
          <w:sz w:val="22"/>
        </w:rPr>
        <w:t>中国科学院微生物研究所参与度最高的</w:t>
      </w:r>
      <w:r>
        <w:rPr>
          <w:rFonts w:asciiTheme="minorEastAsia" w:hAnsiTheme="minorEastAsia" w:cs="Arial" w:hint="eastAsia"/>
          <w:bCs/>
          <w:color w:val="000000"/>
          <w:sz w:val="22"/>
        </w:rPr>
        <w:t>10</w:t>
      </w:r>
      <w:r>
        <w:rPr>
          <w:rFonts w:asciiTheme="minorEastAsia" w:hAnsiTheme="minorEastAsia" w:cs="Arial" w:hint="eastAsia"/>
          <w:bCs/>
          <w:color w:val="000000"/>
          <w:sz w:val="22"/>
        </w:rPr>
        <w:t>个研究方向</w:t>
      </w:r>
    </w:p>
    <w:p w:rsidR="00A36CCF" w:rsidRDefault="00BA63EF">
      <w:pPr>
        <w:spacing w:afterLines="30" w:after="93" w:line="360" w:lineRule="auto"/>
        <w:rPr>
          <w:rFonts w:asciiTheme="minorEastAsia" w:hAnsiTheme="minorEastAsia" w:cs="Arial"/>
          <w:bCs/>
          <w:color w:val="000000"/>
          <w:sz w:val="22"/>
        </w:rPr>
      </w:pPr>
      <w:r>
        <w:rPr>
          <w:rFonts w:asciiTheme="minorEastAsia" w:hAnsiTheme="minorEastAsia" w:cs="Arial" w:hint="eastAsia"/>
          <w:bCs/>
          <w:color w:val="000000"/>
          <w:sz w:val="22"/>
        </w:rPr>
        <w:t>第</w:t>
      </w:r>
      <w:r>
        <w:rPr>
          <w:rFonts w:asciiTheme="minorEastAsia" w:hAnsiTheme="minorEastAsia" w:cs="Arial" w:hint="eastAsia"/>
          <w:bCs/>
          <w:color w:val="000000"/>
          <w:sz w:val="22"/>
        </w:rPr>
        <w:t>3</w:t>
      </w:r>
      <w:r>
        <w:rPr>
          <w:rFonts w:asciiTheme="minorEastAsia" w:hAnsiTheme="minorEastAsia" w:cs="Arial" w:hint="eastAsia"/>
          <w:bCs/>
          <w:color w:val="000000"/>
          <w:sz w:val="22"/>
        </w:rPr>
        <w:t>部分</w:t>
      </w:r>
      <w:r>
        <w:rPr>
          <w:rFonts w:asciiTheme="minorEastAsia" w:hAnsiTheme="minorEastAsia" w:cs="Arial"/>
          <w:bCs/>
          <w:color w:val="000000"/>
          <w:sz w:val="22"/>
        </w:rPr>
        <w:t>，</w:t>
      </w:r>
      <w:r>
        <w:rPr>
          <w:rFonts w:asciiTheme="minorEastAsia" w:hAnsiTheme="minorEastAsia" w:cs="Arial" w:hint="eastAsia"/>
          <w:bCs/>
          <w:color w:val="000000"/>
          <w:sz w:val="22"/>
        </w:rPr>
        <w:t>1</w:t>
      </w:r>
      <w:r>
        <w:rPr>
          <w:rFonts w:asciiTheme="minorEastAsia" w:hAnsiTheme="minorEastAsia" w:cs="Arial"/>
          <w:bCs/>
          <w:color w:val="000000"/>
          <w:sz w:val="22"/>
        </w:rPr>
        <w:t>980</w:t>
      </w:r>
      <w:r>
        <w:rPr>
          <w:rFonts w:asciiTheme="minorEastAsia" w:hAnsiTheme="minorEastAsia" w:cs="Arial" w:hint="eastAsia"/>
          <w:bCs/>
          <w:color w:val="000000"/>
          <w:sz w:val="22"/>
        </w:rPr>
        <w:t>年至</w:t>
      </w:r>
      <w:r>
        <w:rPr>
          <w:rFonts w:asciiTheme="minorEastAsia" w:hAnsiTheme="minorEastAsia" w:cs="Arial"/>
          <w:bCs/>
          <w:color w:val="000000"/>
          <w:sz w:val="22"/>
        </w:rPr>
        <w:t>2020</w:t>
      </w:r>
      <w:r>
        <w:rPr>
          <w:rFonts w:asciiTheme="minorEastAsia" w:hAnsiTheme="minorEastAsia" w:cs="Arial" w:hint="eastAsia"/>
          <w:bCs/>
          <w:color w:val="000000"/>
          <w:sz w:val="22"/>
        </w:rPr>
        <w:t>年</w:t>
      </w:r>
      <w:r>
        <w:rPr>
          <w:rFonts w:asciiTheme="minorEastAsia" w:hAnsiTheme="minorEastAsia" w:cs="Arial" w:hint="eastAsia"/>
          <w:sz w:val="22"/>
          <w:szCs w:val="22"/>
        </w:rPr>
        <w:t>通用流感疫苗</w:t>
      </w:r>
      <w:r>
        <w:rPr>
          <w:rFonts w:asciiTheme="minorEastAsia" w:hAnsiTheme="minorEastAsia" w:cs="Arial" w:hint="eastAsia"/>
          <w:bCs/>
          <w:color w:val="000000"/>
          <w:sz w:val="22"/>
        </w:rPr>
        <w:t>领域常被引论文列表</w:t>
      </w:r>
    </w:p>
    <w:p w:rsidR="00A36CCF" w:rsidRDefault="00BA63EF">
      <w:pPr>
        <w:spacing w:line="360" w:lineRule="auto"/>
        <w:rPr>
          <w:rFonts w:asciiTheme="minorEastAsia" w:hAnsiTheme="minorEastAsia" w:cs="Times New Roman"/>
          <w:b/>
          <w:szCs w:val="21"/>
        </w:rPr>
      </w:pPr>
      <w:r>
        <w:rPr>
          <w:rFonts w:asciiTheme="minorEastAsia" w:hAnsiTheme="minorEastAsia" w:cs="Times New Roman"/>
          <w:b/>
          <w:szCs w:val="21"/>
        </w:rPr>
        <w:t>3</w:t>
      </w:r>
      <w:r>
        <w:rPr>
          <w:rFonts w:asciiTheme="minorEastAsia" w:hAnsiTheme="minorEastAsia" w:cs="Times New Roman" w:hint="eastAsia"/>
          <w:b/>
          <w:szCs w:val="21"/>
        </w:rPr>
        <w:t>.</w:t>
      </w:r>
      <w:r>
        <w:rPr>
          <w:rFonts w:asciiTheme="minorEastAsia" w:hAnsiTheme="minorEastAsia" w:cs="Times New Roman" w:hint="eastAsia"/>
          <w:b/>
          <w:szCs w:val="21"/>
        </w:rPr>
        <w:t>分析</w:t>
      </w:r>
      <w:r>
        <w:rPr>
          <w:rFonts w:asciiTheme="minorEastAsia" w:hAnsiTheme="minorEastAsia" w:cs="Times New Roman"/>
          <w:b/>
          <w:szCs w:val="21"/>
        </w:rPr>
        <w:t>指标</w:t>
      </w:r>
    </w:p>
    <w:tbl>
      <w:tblPr>
        <w:tblW w:w="8078" w:type="dxa"/>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67"/>
        <w:gridCol w:w="5111"/>
      </w:tblGrid>
      <w:tr w:rsidR="00A36CCF">
        <w:trPr>
          <w:trHeight w:val="276"/>
          <w:tblHeader/>
        </w:trPr>
        <w:tc>
          <w:tcPr>
            <w:tcW w:w="2967" w:type="dxa"/>
            <w:shd w:val="clear" w:color="auto" w:fill="auto"/>
            <w:noWrap/>
            <w:vAlign w:val="center"/>
          </w:tcPr>
          <w:p w:rsidR="00A36CCF" w:rsidRDefault="00BA63EF">
            <w:pPr>
              <w:widowControl/>
              <w:jc w:val="center"/>
              <w:rPr>
                <w:rFonts w:asciiTheme="minorEastAsia" w:hAnsiTheme="minorEastAsia" w:cs="宋体"/>
                <w:b/>
                <w:bCs/>
                <w:color w:val="000000"/>
                <w:kern w:val="0"/>
                <w:sz w:val="22"/>
                <w:szCs w:val="22"/>
              </w:rPr>
            </w:pPr>
            <w:r>
              <w:rPr>
                <w:rFonts w:asciiTheme="minorEastAsia" w:hAnsiTheme="minorEastAsia" w:cs="宋体" w:hint="eastAsia"/>
                <w:b/>
                <w:bCs/>
                <w:color w:val="000000"/>
                <w:kern w:val="0"/>
                <w:sz w:val="22"/>
                <w:szCs w:val="22"/>
              </w:rPr>
              <w:t>指标名称</w:t>
            </w:r>
          </w:p>
        </w:tc>
        <w:tc>
          <w:tcPr>
            <w:tcW w:w="5111" w:type="dxa"/>
            <w:shd w:val="clear" w:color="auto" w:fill="auto"/>
            <w:noWrap/>
            <w:vAlign w:val="center"/>
          </w:tcPr>
          <w:p w:rsidR="00A36CCF" w:rsidRDefault="00BA63EF">
            <w:pPr>
              <w:widowControl/>
              <w:jc w:val="center"/>
              <w:rPr>
                <w:rFonts w:asciiTheme="minorEastAsia" w:hAnsiTheme="minorEastAsia" w:cs="宋体"/>
                <w:b/>
                <w:bCs/>
                <w:color w:val="000000"/>
                <w:kern w:val="0"/>
                <w:sz w:val="22"/>
                <w:szCs w:val="22"/>
              </w:rPr>
            </w:pPr>
            <w:r>
              <w:rPr>
                <w:rFonts w:asciiTheme="minorEastAsia" w:hAnsiTheme="minorEastAsia" w:cs="宋体" w:hint="eastAsia"/>
                <w:b/>
                <w:bCs/>
                <w:color w:val="000000"/>
                <w:kern w:val="0"/>
                <w:sz w:val="22"/>
                <w:szCs w:val="22"/>
              </w:rPr>
              <w:t>指标描述</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论文发文量</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被</w:t>
            </w:r>
            <w:r>
              <w:rPr>
                <w:rFonts w:asciiTheme="minorEastAsia" w:hAnsiTheme="minorEastAsia" w:cs="宋体" w:hint="eastAsia"/>
                <w:color w:val="000000"/>
                <w:kern w:val="0"/>
                <w:sz w:val="22"/>
                <w:szCs w:val="22"/>
              </w:rPr>
              <w:t>Web of Science</w:t>
            </w:r>
            <w:r>
              <w:rPr>
                <w:rFonts w:asciiTheme="minorEastAsia" w:hAnsiTheme="minorEastAsia" w:cs="宋体"/>
                <w:color w:val="000000"/>
                <w:kern w:val="0"/>
                <w:sz w:val="22"/>
                <w:szCs w:val="22"/>
                <w:vertAlign w:val="superscript"/>
              </w:rPr>
              <w:t>TM</w:t>
            </w:r>
            <w:r>
              <w:rPr>
                <w:rFonts w:asciiTheme="minorEastAsia" w:hAnsiTheme="minorEastAsia" w:cs="宋体" w:hint="eastAsia"/>
                <w:color w:val="000000"/>
                <w:kern w:val="0"/>
                <w:sz w:val="22"/>
                <w:szCs w:val="22"/>
              </w:rPr>
              <w:t>核心合集收录的且文献类型为</w:t>
            </w:r>
            <w:r>
              <w:rPr>
                <w:rFonts w:asciiTheme="minorEastAsia" w:hAnsiTheme="minorEastAsia" w:cs="宋体" w:hint="eastAsia"/>
                <w:color w:val="000000"/>
                <w:kern w:val="0"/>
                <w:sz w:val="22"/>
                <w:szCs w:val="22"/>
              </w:rPr>
              <w:t>Article</w:t>
            </w:r>
            <w:r>
              <w:rPr>
                <w:rFonts w:asciiTheme="minorEastAsia" w:hAnsiTheme="minorEastAsia" w:cs="宋体" w:hint="eastAsia"/>
                <w:color w:val="000000"/>
                <w:kern w:val="0"/>
                <w:sz w:val="22"/>
                <w:szCs w:val="22"/>
              </w:rPr>
              <w:t>、</w:t>
            </w:r>
            <w:r>
              <w:rPr>
                <w:rFonts w:asciiTheme="minorEastAsia" w:hAnsiTheme="minorEastAsia" w:cs="宋体" w:hint="eastAsia"/>
                <w:color w:val="000000"/>
                <w:kern w:val="0"/>
                <w:sz w:val="22"/>
                <w:szCs w:val="22"/>
              </w:rPr>
              <w:t>Review</w:t>
            </w:r>
            <w:r>
              <w:rPr>
                <w:rFonts w:asciiTheme="minorEastAsia" w:hAnsiTheme="minorEastAsia" w:cs="宋体" w:hint="eastAsia"/>
                <w:color w:val="000000"/>
                <w:kern w:val="0"/>
                <w:sz w:val="22"/>
                <w:szCs w:val="22"/>
              </w:rPr>
              <w:t>和</w:t>
            </w:r>
            <w:r>
              <w:rPr>
                <w:rFonts w:asciiTheme="minorEastAsia" w:hAnsiTheme="minorEastAsia" w:cs="宋体" w:hint="eastAsia"/>
                <w:color w:val="000000"/>
                <w:kern w:val="0"/>
                <w:sz w:val="22"/>
                <w:szCs w:val="22"/>
              </w:rPr>
              <w:t xml:space="preserve"> Proceedings Paper</w:t>
            </w:r>
            <w:r>
              <w:rPr>
                <w:rFonts w:asciiTheme="minorEastAsia" w:hAnsiTheme="minorEastAsia" w:cs="宋体" w:hint="eastAsia"/>
                <w:color w:val="000000"/>
                <w:kern w:val="0"/>
                <w:sz w:val="22"/>
                <w:szCs w:val="22"/>
              </w:rPr>
              <w:t>的论文数量。</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论文的引文影响力</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学科规范化的引文影响力（</w:t>
            </w:r>
            <w:r>
              <w:rPr>
                <w:rFonts w:asciiTheme="minorEastAsia" w:hAnsiTheme="minorEastAsia" w:cs="宋体" w:hint="eastAsia"/>
                <w:color w:val="000000"/>
                <w:kern w:val="0"/>
                <w:sz w:val="22"/>
                <w:szCs w:val="22"/>
              </w:rPr>
              <w:t>CNCI</w:t>
            </w:r>
            <w:r>
              <w:rPr>
                <w:rFonts w:asciiTheme="minorEastAsia" w:hAnsiTheme="minorEastAsia" w:cs="宋体" w:hint="eastAsia"/>
                <w:color w:val="000000"/>
                <w:kern w:val="0"/>
                <w:sz w:val="22"/>
                <w:szCs w:val="22"/>
              </w:rPr>
              <w:t>）</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被引频次排名前</w:t>
            </w:r>
            <w:r>
              <w:rPr>
                <w:rFonts w:asciiTheme="minorEastAsia" w:hAnsiTheme="minorEastAsia" w:cs="宋体" w:hint="eastAsia"/>
                <w:color w:val="000000"/>
                <w:kern w:val="0"/>
                <w:sz w:val="22"/>
                <w:szCs w:val="22"/>
              </w:rPr>
              <w:t>10%</w:t>
            </w:r>
            <w:r>
              <w:rPr>
                <w:rFonts w:asciiTheme="minorEastAsia" w:hAnsiTheme="minorEastAsia" w:cs="宋体" w:hint="eastAsia"/>
                <w:color w:val="000000"/>
                <w:kern w:val="0"/>
                <w:sz w:val="22"/>
                <w:szCs w:val="22"/>
              </w:rPr>
              <w:t>的论文百分比</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在某一指定学科领域、某一年、某种文献类型下，被引频次排名前</w:t>
            </w:r>
            <w:r>
              <w:rPr>
                <w:rFonts w:asciiTheme="minorEastAsia" w:hAnsiTheme="minorEastAsia" w:cs="宋体" w:hint="eastAsia"/>
                <w:color w:val="000000"/>
                <w:kern w:val="0"/>
                <w:sz w:val="22"/>
                <w:szCs w:val="22"/>
              </w:rPr>
              <w:t>10%</w:t>
            </w:r>
            <w:r>
              <w:rPr>
                <w:rFonts w:asciiTheme="minorEastAsia" w:hAnsiTheme="minorEastAsia" w:cs="宋体" w:hint="eastAsia"/>
                <w:color w:val="000000"/>
                <w:kern w:val="0"/>
                <w:sz w:val="22"/>
                <w:szCs w:val="22"/>
              </w:rPr>
              <w:t>的文献数除以该组文献的总数的值，以百分数的形式展现。</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国际合作论文百分比</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国际合作论文百分比是某论文集中，国际合作论文的数量除以该论文集的论文总数的数值，以百分数的形式表现。</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核心论文数</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每个研究前沿的核心论文数量在</w:t>
            </w:r>
            <w:r>
              <w:rPr>
                <w:rFonts w:asciiTheme="minorEastAsia" w:hAnsiTheme="minorEastAsia" w:cs="宋体" w:hint="eastAsia"/>
                <w:color w:val="000000"/>
                <w:kern w:val="0"/>
                <w:sz w:val="22"/>
                <w:szCs w:val="22"/>
              </w:rPr>
              <w:t>2-50</w:t>
            </w:r>
            <w:r>
              <w:rPr>
                <w:rFonts w:asciiTheme="minorEastAsia" w:hAnsiTheme="minorEastAsia" w:cs="宋体" w:hint="eastAsia"/>
                <w:color w:val="000000"/>
                <w:kern w:val="0"/>
                <w:sz w:val="22"/>
                <w:szCs w:val="22"/>
              </w:rPr>
              <w:t>篇之间</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lastRenderedPageBreak/>
              <w:t>核心论文中属于研究领域的论文数</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每个研究前沿中属于当前分析研究领域的核心论文数</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施引文献数</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引用核心论文的文献数量</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核心论文的平均出版年</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说明研究前沿出现的时间</w:t>
            </w:r>
            <w:r>
              <w:rPr>
                <w:rFonts w:asciiTheme="minorEastAsia" w:hAnsiTheme="minorEastAsia" w:cs="宋体" w:hint="eastAsia"/>
                <w:color w:val="000000"/>
                <w:kern w:val="0"/>
                <w:sz w:val="22"/>
                <w:szCs w:val="22"/>
              </w:rPr>
              <w:t xml:space="preserve"> </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施引文献的平均出版年</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该值越接近当前，说明该研究前沿近期仍然受到科研人员的关注。</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施引文献的年均增长率</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说明研究前沿受科研人员的关注速度</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Porter</w:t>
            </w:r>
            <w:r>
              <w:rPr>
                <w:rFonts w:asciiTheme="minorEastAsia" w:hAnsiTheme="minorEastAsia" w:cs="宋体"/>
                <w:color w:val="000000"/>
                <w:kern w:val="0"/>
                <w:sz w:val="22"/>
                <w:szCs w:val="22"/>
              </w:rPr>
              <w:t>’</w:t>
            </w:r>
            <w:r>
              <w:rPr>
                <w:rFonts w:asciiTheme="minorEastAsia" w:hAnsiTheme="minorEastAsia" w:cs="宋体" w:hint="eastAsia"/>
                <w:color w:val="000000"/>
                <w:kern w:val="0"/>
                <w:sz w:val="22"/>
                <w:szCs w:val="22"/>
              </w:rPr>
              <w:t>s Integration Index</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该值越接近</w:t>
            </w:r>
            <w:r>
              <w:rPr>
                <w:rFonts w:asciiTheme="minorEastAsia" w:hAnsiTheme="minorEastAsia" w:cs="宋体" w:hint="eastAsia"/>
                <w:color w:val="000000"/>
                <w:kern w:val="0"/>
                <w:sz w:val="22"/>
                <w:szCs w:val="22"/>
              </w:rPr>
              <w:t>1</w:t>
            </w:r>
            <w:r>
              <w:rPr>
                <w:rFonts w:asciiTheme="minorEastAsia" w:hAnsiTheme="minorEastAsia" w:cs="宋体" w:hint="eastAsia"/>
                <w:color w:val="000000"/>
                <w:kern w:val="0"/>
                <w:sz w:val="22"/>
                <w:szCs w:val="22"/>
              </w:rPr>
              <w:t>，说明该研究前沿很可能是基于传统学科衍生出新的研究方向或者学科。</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核心论文中中国机构的参与数量</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核心论文地址中至少包含一个中国机构的论文数量</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ERA</w:t>
            </w:r>
            <w:r>
              <w:rPr>
                <w:rFonts w:asciiTheme="minorEastAsia" w:hAnsiTheme="minorEastAsia" w:cs="宋体" w:hint="eastAsia"/>
                <w:color w:val="000000"/>
                <w:kern w:val="0"/>
                <w:sz w:val="22"/>
                <w:szCs w:val="22"/>
              </w:rPr>
              <w:t>全部论文（核心论文</w:t>
            </w:r>
            <w:r>
              <w:rPr>
                <w:rFonts w:asciiTheme="minorEastAsia" w:hAnsiTheme="minorEastAsia" w:cs="宋体" w:hint="eastAsia"/>
                <w:color w:val="000000"/>
                <w:kern w:val="0"/>
                <w:sz w:val="22"/>
                <w:szCs w:val="22"/>
              </w:rPr>
              <w:t>+</w:t>
            </w:r>
            <w:r>
              <w:rPr>
                <w:rFonts w:asciiTheme="minorEastAsia" w:hAnsiTheme="minorEastAsia" w:cs="宋体" w:hint="eastAsia"/>
                <w:color w:val="000000"/>
                <w:kern w:val="0"/>
                <w:sz w:val="22"/>
                <w:szCs w:val="22"/>
              </w:rPr>
              <w:t>施引文献）中中国机构的参与数量</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施引文献地址中至少包含一个中国机构的论文数量</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核心论文中中国科学院微生物研究所的参与数量</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核心论文地址中至少包含一个地址为中国科学院微生物研究所的论文数量</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ERA</w:t>
            </w:r>
            <w:r>
              <w:rPr>
                <w:rFonts w:asciiTheme="minorEastAsia" w:hAnsiTheme="minorEastAsia" w:cs="宋体" w:hint="eastAsia"/>
                <w:color w:val="000000"/>
                <w:kern w:val="0"/>
                <w:sz w:val="22"/>
                <w:szCs w:val="22"/>
              </w:rPr>
              <w:t>全部论文（核心论文</w:t>
            </w:r>
            <w:r>
              <w:rPr>
                <w:rFonts w:asciiTheme="minorEastAsia" w:hAnsiTheme="minorEastAsia" w:cs="宋体" w:hint="eastAsia"/>
                <w:color w:val="000000"/>
                <w:kern w:val="0"/>
                <w:sz w:val="22"/>
                <w:szCs w:val="22"/>
              </w:rPr>
              <w:t>+</w:t>
            </w:r>
            <w:r>
              <w:rPr>
                <w:rFonts w:asciiTheme="minorEastAsia" w:hAnsiTheme="minorEastAsia" w:cs="宋体" w:hint="eastAsia"/>
                <w:color w:val="000000"/>
                <w:kern w:val="0"/>
                <w:sz w:val="22"/>
                <w:szCs w:val="22"/>
              </w:rPr>
              <w:t>施引文献）中中国科学院微生物研究所的参与数量</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施引文献地址中至少包含一个地址为中国科学院微生物研究所的论文数量</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新兴研究方向唯一</w:t>
            </w:r>
            <w:r>
              <w:rPr>
                <w:rFonts w:asciiTheme="minorEastAsia" w:hAnsiTheme="minorEastAsia" w:cs="宋体" w:hint="eastAsia"/>
                <w:color w:val="000000"/>
                <w:kern w:val="0"/>
                <w:sz w:val="22"/>
                <w:szCs w:val="22"/>
              </w:rPr>
              <w:t>ID</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新兴研究方向唯一数字编号</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新兴研究方向名称</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新兴研究方向论文的高频关键词</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新兴研究方向关键词</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新兴研究方向论文的所有关键词</w:t>
            </w:r>
          </w:p>
        </w:tc>
      </w:tr>
      <w:tr w:rsidR="00A36CCF">
        <w:trPr>
          <w:trHeight w:val="276"/>
        </w:trPr>
        <w:tc>
          <w:tcPr>
            <w:tcW w:w="2967"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新兴研究方向</w:t>
            </w:r>
            <w:r>
              <w:rPr>
                <w:rFonts w:asciiTheme="minorEastAsia" w:hAnsiTheme="minorEastAsia" w:cs="宋体" w:hint="eastAsia"/>
                <w:color w:val="000000"/>
                <w:kern w:val="0"/>
                <w:sz w:val="22"/>
                <w:szCs w:val="22"/>
              </w:rPr>
              <w:t>top ESI</w:t>
            </w:r>
            <w:r>
              <w:rPr>
                <w:rFonts w:asciiTheme="minorEastAsia" w:hAnsiTheme="minorEastAsia" w:cs="宋体" w:hint="eastAsia"/>
                <w:color w:val="000000"/>
                <w:kern w:val="0"/>
                <w:sz w:val="22"/>
                <w:szCs w:val="22"/>
              </w:rPr>
              <w:t>学科</w:t>
            </w:r>
          </w:p>
        </w:tc>
        <w:tc>
          <w:tcPr>
            <w:tcW w:w="5111" w:type="dxa"/>
            <w:shd w:val="clear" w:color="auto" w:fill="auto"/>
            <w:noWrap/>
            <w:vAlign w:val="center"/>
          </w:tcPr>
          <w:p w:rsidR="00A36CCF" w:rsidRDefault="00BA63EF">
            <w:pPr>
              <w:widowControl/>
              <w:jc w:val="left"/>
              <w:rPr>
                <w:rFonts w:asciiTheme="minorEastAsia" w:hAnsiTheme="minorEastAsia" w:cs="宋体"/>
                <w:color w:val="000000"/>
                <w:kern w:val="0"/>
                <w:sz w:val="22"/>
                <w:szCs w:val="22"/>
              </w:rPr>
            </w:pPr>
            <w:r>
              <w:rPr>
                <w:rFonts w:asciiTheme="minorEastAsia" w:hAnsiTheme="minorEastAsia" w:cs="宋体" w:hint="eastAsia"/>
                <w:color w:val="000000"/>
                <w:kern w:val="0"/>
                <w:sz w:val="22"/>
                <w:szCs w:val="22"/>
              </w:rPr>
              <w:t>新兴研究方向论文的主要</w:t>
            </w:r>
            <w:r>
              <w:rPr>
                <w:rFonts w:asciiTheme="minorEastAsia" w:hAnsiTheme="minorEastAsia" w:cs="宋体" w:hint="eastAsia"/>
                <w:color w:val="000000"/>
                <w:kern w:val="0"/>
                <w:sz w:val="22"/>
                <w:szCs w:val="22"/>
              </w:rPr>
              <w:t>ESI</w:t>
            </w:r>
            <w:r>
              <w:rPr>
                <w:rFonts w:asciiTheme="minorEastAsia" w:hAnsiTheme="minorEastAsia" w:cs="宋体" w:hint="eastAsia"/>
                <w:color w:val="000000"/>
                <w:kern w:val="0"/>
                <w:sz w:val="22"/>
                <w:szCs w:val="22"/>
              </w:rPr>
              <w:t>学科</w:t>
            </w:r>
          </w:p>
        </w:tc>
      </w:tr>
    </w:tbl>
    <w:p w:rsidR="00A36CCF" w:rsidRDefault="00A36CCF">
      <w:pPr>
        <w:spacing w:line="360" w:lineRule="auto"/>
        <w:rPr>
          <w:rFonts w:asciiTheme="minorEastAsia" w:hAnsiTheme="minorEastAsia" w:cs="Times New Roman"/>
          <w:b/>
          <w:szCs w:val="21"/>
        </w:rPr>
      </w:pPr>
    </w:p>
    <w:p w:rsidR="00A36CCF" w:rsidRDefault="00BA63EF">
      <w:pPr>
        <w:spacing w:line="360" w:lineRule="auto"/>
        <w:rPr>
          <w:rFonts w:asciiTheme="minorEastAsia" w:hAnsiTheme="minorEastAsia" w:cs="Times New Roman"/>
          <w:b/>
          <w:szCs w:val="21"/>
        </w:rPr>
      </w:pPr>
      <w:r>
        <w:rPr>
          <w:rFonts w:asciiTheme="minorEastAsia" w:hAnsiTheme="minorEastAsia" w:cs="Times New Roman"/>
          <w:b/>
          <w:szCs w:val="21"/>
        </w:rPr>
        <w:t>4</w:t>
      </w:r>
      <w:r>
        <w:rPr>
          <w:rFonts w:asciiTheme="minorEastAsia" w:hAnsiTheme="minorEastAsia" w:cs="Times New Roman" w:hint="eastAsia"/>
          <w:b/>
          <w:szCs w:val="21"/>
        </w:rPr>
        <w:t>.</w:t>
      </w:r>
      <w:r>
        <w:rPr>
          <w:rFonts w:asciiTheme="minorEastAsia" w:hAnsiTheme="minorEastAsia" w:cs="Times New Roman" w:hint="eastAsia"/>
          <w:b/>
          <w:szCs w:val="21"/>
        </w:rPr>
        <w:t>交付内容</w:t>
      </w:r>
    </w:p>
    <w:p w:rsidR="00A36CCF" w:rsidRDefault="00BA63EF">
      <w:pPr>
        <w:pStyle w:val="aa"/>
        <w:numPr>
          <w:ilvl w:val="0"/>
          <w:numId w:val="3"/>
        </w:numPr>
        <w:ind w:firstLineChars="0"/>
        <w:contextualSpacing/>
        <w:jc w:val="left"/>
        <w:rPr>
          <w:rFonts w:asciiTheme="minorEastAsia" w:hAnsiTheme="minorEastAsia" w:cs="Arial"/>
          <w:sz w:val="22"/>
          <w:szCs w:val="22"/>
        </w:rPr>
      </w:pPr>
      <w:r>
        <w:rPr>
          <w:rFonts w:asciiTheme="minorEastAsia" w:hAnsiTheme="minorEastAsia" w:cs="Arial" w:hint="eastAsia"/>
          <w:sz w:val="22"/>
          <w:szCs w:val="22"/>
        </w:rPr>
        <w:t>以</w:t>
      </w:r>
      <w:r>
        <w:rPr>
          <w:rFonts w:asciiTheme="minorEastAsia" w:hAnsiTheme="minorEastAsia" w:cs="Arial" w:hint="eastAsia"/>
          <w:sz w:val="22"/>
          <w:szCs w:val="22"/>
        </w:rPr>
        <w:t>WORD</w:t>
      </w:r>
      <w:r>
        <w:rPr>
          <w:rFonts w:asciiTheme="minorEastAsia" w:hAnsiTheme="minorEastAsia" w:cs="Arial" w:hint="eastAsia"/>
          <w:sz w:val="22"/>
          <w:szCs w:val="22"/>
        </w:rPr>
        <w:t>格式提供一份中文的涵盖概述结果的报告。报告将包括</w:t>
      </w:r>
    </w:p>
    <w:p w:rsidR="00A36CCF" w:rsidRDefault="00BA63EF">
      <w:pPr>
        <w:pStyle w:val="aa"/>
        <w:numPr>
          <w:ilvl w:val="1"/>
          <w:numId w:val="4"/>
        </w:numPr>
        <w:ind w:firstLineChars="0"/>
        <w:contextualSpacing/>
        <w:jc w:val="left"/>
        <w:rPr>
          <w:rFonts w:asciiTheme="minorEastAsia" w:hAnsiTheme="minorEastAsia" w:cs="Arial"/>
          <w:sz w:val="22"/>
          <w:szCs w:val="22"/>
        </w:rPr>
      </w:pPr>
      <w:r>
        <w:rPr>
          <w:rFonts w:asciiTheme="minorEastAsia" w:hAnsiTheme="minorEastAsia" w:cs="Arial" w:hint="eastAsia"/>
          <w:sz w:val="22"/>
          <w:szCs w:val="22"/>
        </w:rPr>
        <w:t>方法论</w:t>
      </w:r>
    </w:p>
    <w:p w:rsidR="00A36CCF" w:rsidRDefault="00BA63EF">
      <w:pPr>
        <w:pStyle w:val="aa"/>
        <w:numPr>
          <w:ilvl w:val="1"/>
          <w:numId w:val="4"/>
        </w:numPr>
        <w:ind w:firstLineChars="0"/>
        <w:contextualSpacing/>
        <w:jc w:val="left"/>
        <w:rPr>
          <w:rFonts w:asciiTheme="minorEastAsia" w:hAnsiTheme="minorEastAsia" w:cs="Arial"/>
          <w:sz w:val="22"/>
          <w:szCs w:val="22"/>
        </w:rPr>
      </w:pPr>
      <w:r>
        <w:rPr>
          <w:rFonts w:asciiTheme="minorEastAsia" w:hAnsiTheme="minorEastAsia" w:cs="Arial" w:hint="eastAsia"/>
          <w:sz w:val="22"/>
          <w:szCs w:val="22"/>
        </w:rPr>
        <w:t>数据源</w:t>
      </w:r>
    </w:p>
    <w:p w:rsidR="00A36CCF" w:rsidRDefault="00BA63EF">
      <w:pPr>
        <w:pStyle w:val="aa"/>
        <w:numPr>
          <w:ilvl w:val="1"/>
          <w:numId w:val="4"/>
        </w:numPr>
        <w:ind w:firstLineChars="0"/>
        <w:contextualSpacing/>
        <w:jc w:val="left"/>
        <w:rPr>
          <w:rFonts w:asciiTheme="minorEastAsia" w:hAnsiTheme="minorEastAsia" w:cs="Arial"/>
          <w:sz w:val="22"/>
          <w:szCs w:val="22"/>
        </w:rPr>
      </w:pPr>
      <w:r>
        <w:rPr>
          <w:rFonts w:asciiTheme="minorEastAsia" w:hAnsiTheme="minorEastAsia" w:cs="Arial" w:hint="eastAsia"/>
          <w:sz w:val="22"/>
          <w:szCs w:val="22"/>
        </w:rPr>
        <w:t>分析的表格、图形及描述</w:t>
      </w:r>
    </w:p>
    <w:p w:rsidR="00A36CCF" w:rsidRDefault="00BA63EF">
      <w:pPr>
        <w:pStyle w:val="aa"/>
        <w:numPr>
          <w:ilvl w:val="1"/>
          <w:numId w:val="4"/>
        </w:numPr>
        <w:ind w:firstLineChars="0"/>
        <w:contextualSpacing/>
        <w:jc w:val="left"/>
        <w:rPr>
          <w:rFonts w:asciiTheme="minorEastAsia" w:hAnsiTheme="minorEastAsia" w:cs="Arial"/>
          <w:sz w:val="22"/>
          <w:szCs w:val="22"/>
        </w:rPr>
      </w:pPr>
      <w:r>
        <w:rPr>
          <w:rFonts w:asciiTheme="minorEastAsia" w:hAnsiTheme="minorEastAsia" w:cs="Arial" w:hint="eastAsia"/>
          <w:sz w:val="22"/>
          <w:szCs w:val="22"/>
        </w:rPr>
        <w:t>结论和发现</w:t>
      </w:r>
    </w:p>
    <w:p w:rsidR="00A36CCF" w:rsidRDefault="00A36CCF">
      <w:pPr>
        <w:pStyle w:val="aa"/>
        <w:ind w:left="840" w:firstLine="440"/>
        <w:rPr>
          <w:rFonts w:asciiTheme="minorEastAsia" w:hAnsiTheme="minorEastAsia" w:cs="Arial"/>
          <w:sz w:val="22"/>
          <w:szCs w:val="22"/>
        </w:rPr>
      </w:pPr>
    </w:p>
    <w:p w:rsidR="00A36CCF" w:rsidRDefault="00BA63EF">
      <w:pPr>
        <w:pStyle w:val="aa"/>
        <w:numPr>
          <w:ilvl w:val="0"/>
          <w:numId w:val="3"/>
        </w:numPr>
        <w:ind w:firstLineChars="0"/>
        <w:contextualSpacing/>
        <w:jc w:val="left"/>
        <w:rPr>
          <w:rFonts w:asciiTheme="minorEastAsia" w:hAnsiTheme="minorEastAsia" w:cs="Arial"/>
          <w:sz w:val="22"/>
          <w:szCs w:val="22"/>
        </w:rPr>
      </w:pPr>
      <w:r>
        <w:rPr>
          <w:rFonts w:asciiTheme="minorEastAsia" w:hAnsiTheme="minorEastAsia" w:cs="Arial" w:hint="eastAsia"/>
          <w:color w:val="171616" w:themeColor="text1"/>
          <w:sz w:val="22"/>
          <w:szCs w:val="22"/>
        </w:rPr>
        <w:t>新兴研究方向中的核心论文列表和常被引论文列表。</w:t>
      </w:r>
      <w:r>
        <w:rPr>
          <w:rFonts w:asciiTheme="minorEastAsia" w:hAnsiTheme="minorEastAsia" w:cs="Arial" w:hint="eastAsia"/>
          <w:sz w:val="22"/>
          <w:szCs w:val="22"/>
        </w:rPr>
        <w:t>以</w:t>
      </w:r>
      <w:r>
        <w:rPr>
          <w:rFonts w:asciiTheme="minorEastAsia" w:hAnsiTheme="minorEastAsia" w:cs="Arial" w:hint="eastAsia"/>
          <w:sz w:val="22"/>
          <w:szCs w:val="22"/>
        </w:rPr>
        <w:t>EXCEL</w:t>
      </w:r>
      <w:r>
        <w:rPr>
          <w:rFonts w:asciiTheme="minorEastAsia" w:hAnsiTheme="minorEastAsia" w:cs="Arial" w:hint="eastAsia"/>
          <w:sz w:val="22"/>
          <w:szCs w:val="22"/>
        </w:rPr>
        <w:t>格式提供，字段包含</w:t>
      </w:r>
      <w:r>
        <w:rPr>
          <w:rFonts w:asciiTheme="minorEastAsia" w:hAnsiTheme="minorEastAsia" w:cs="Arial" w:hint="eastAsia"/>
          <w:sz w:val="22"/>
          <w:szCs w:val="22"/>
        </w:rPr>
        <w:t>WOS</w:t>
      </w:r>
      <w:r>
        <w:rPr>
          <w:rFonts w:asciiTheme="minorEastAsia" w:hAnsiTheme="minorEastAsia" w:cs="Arial" w:hint="eastAsia"/>
          <w:sz w:val="22"/>
          <w:szCs w:val="22"/>
        </w:rPr>
        <w:t>入藏号、论文标题、出版年、来源出版物、全部作者和全部作者地址。</w:t>
      </w:r>
    </w:p>
    <w:p w:rsidR="00A36CCF" w:rsidRDefault="00A36CCF">
      <w:pPr>
        <w:spacing w:line="360" w:lineRule="auto"/>
        <w:rPr>
          <w:rFonts w:asciiTheme="minorEastAsia" w:hAnsiTheme="minorEastAsia" w:cs="Times New Roman"/>
          <w:b/>
          <w:szCs w:val="21"/>
        </w:rPr>
      </w:pPr>
    </w:p>
    <w:p w:rsidR="00A36CCF" w:rsidRDefault="00BA63EF">
      <w:pPr>
        <w:spacing w:line="360" w:lineRule="auto"/>
        <w:rPr>
          <w:rFonts w:asciiTheme="minorEastAsia" w:hAnsiTheme="minorEastAsia" w:cs="Times New Roman"/>
          <w:b/>
          <w:szCs w:val="21"/>
        </w:rPr>
      </w:pPr>
      <w:r>
        <w:rPr>
          <w:rFonts w:asciiTheme="minorEastAsia" w:hAnsiTheme="minorEastAsia" w:cs="Times New Roman"/>
          <w:b/>
          <w:szCs w:val="21"/>
        </w:rPr>
        <w:t>5</w:t>
      </w:r>
      <w:r>
        <w:rPr>
          <w:rFonts w:asciiTheme="minorEastAsia" w:hAnsiTheme="minorEastAsia" w:cs="Times New Roman" w:hint="eastAsia"/>
          <w:b/>
          <w:szCs w:val="21"/>
        </w:rPr>
        <w:t>.</w:t>
      </w:r>
      <w:r>
        <w:rPr>
          <w:rFonts w:asciiTheme="minorEastAsia" w:hAnsiTheme="minorEastAsia" w:cs="Times New Roman" w:hint="eastAsia"/>
          <w:b/>
          <w:szCs w:val="21"/>
        </w:rPr>
        <w:t>交付时间</w:t>
      </w:r>
    </w:p>
    <w:p w:rsidR="00A36CCF" w:rsidRDefault="00BA63EF">
      <w:pPr>
        <w:pStyle w:val="aa"/>
        <w:widowControl/>
        <w:tabs>
          <w:tab w:val="left" w:pos="1170"/>
          <w:tab w:val="left" w:pos="6120"/>
          <w:tab w:val="left" w:pos="7020"/>
        </w:tabs>
        <w:ind w:left="420" w:firstLineChars="0" w:firstLine="0"/>
        <w:contextualSpacing/>
        <w:jc w:val="left"/>
        <w:rPr>
          <w:rFonts w:asciiTheme="minorEastAsia" w:hAnsiTheme="minorEastAsia" w:cs="Times New Roman"/>
          <w:szCs w:val="21"/>
        </w:rPr>
      </w:pPr>
      <w:r>
        <w:rPr>
          <w:rFonts w:asciiTheme="minorEastAsia" w:hAnsiTheme="minorEastAsia" w:cs="Arial" w:hint="eastAsia"/>
          <w:bCs/>
          <w:sz w:val="22"/>
          <w:szCs w:val="22"/>
        </w:rPr>
        <w:t>最终</w:t>
      </w:r>
      <w:r>
        <w:rPr>
          <w:rFonts w:asciiTheme="minorEastAsia" w:hAnsiTheme="minorEastAsia" w:cs="Arial"/>
          <w:bCs/>
          <w:sz w:val="22"/>
          <w:szCs w:val="22"/>
        </w:rPr>
        <w:t>的</w:t>
      </w:r>
      <w:r>
        <w:rPr>
          <w:rFonts w:asciiTheme="minorEastAsia" w:hAnsiTheme="minorEastAsia" w:cs="Arial" w:hint="eastAsia"/>
          <w:bCs/>
          <w:sz w:val="22"/>
          <w:szCs w:val="22"/>
        </w:rPr>
        <w:t>报告</w:t>
      </w:r>
      <w:r>
        <w:rPr>
          <w:rFonts w:asciiTheme="minorEastAsia" w:hAnsiTheme="minorEastAsia" w:cs="Arial"/>
          <w:bCs/>
          <w:sz w:val="22"/>
          <w:szCs w:val="22"/>
        </w:rPr>
        <w:t>将在签署合同后</w:t>
      </w:r>
      <w:r>
        <w:rPr>
          <w:rFonts w:asciiTheme="minorEastAsia" w:hAnsiTheme="minorEastAsia" w:cs="Arial" w:hint="eastAsia"/>
          <w:bCs/>
          <w:sz w:val="22"/>
          <w:szCs w:val="22"/>
        </w:rPr>
        <w:t>1</w:t>
      </w:r>
      <w:r>
        <w:rPr>
          <w:rFonts w:asciiTheme="minorEastAsia" w:hAnsiTheme="minorEastAsia" w:cs="Arial"/>
          <w:bCs/>
          <w:sz w:val="22"/>
          <w:szCs w:val="22"/>
        </w:rPr>
        <w:t>2</w:t>
      </w:r>
      <w:r>
        <w:rPr>
          <w:rFonts w:asciiTheme="minorEastAsia" w:hAnsiTheme="minorEastAsia" w:cs="Arial" w:hint="eastAsia"/>
          <w:bCs/>
          <w:sz w:val="22"/>
          <w:szCs w:val="22"/>
        </w:rPr>
        <w:t>周左右</w:t>
      </w:r>
      <w:r>
        <w:rPr>
          <w:rFonts w:asciiTheme="minorEastAsia" w:hAnsiTheme="minorEastAsia" w:cs="Arial"/>
          <w:bCs/>
          <w:sz w:val="22"/>
          <w:szCs w:val="22"/>
        </w:rPr>
        <w:t>提供</w:t>
      </w:r>
      <w:r>
        <w:rPr>
          <w:rFonts w:asciiTheme="minorEastAsia" w:hAnsiTheme="minorEastAsia" w:cs="Arial" w:hint="eastAsia"/>
          <w:bCs/>
          <w:sz w:val="22"/>
          <w:szCs w:val="22"/>
        </w:rPr>
        <w:t>。</w:t>
      </w:r>
    </w:p>
    <w:sectPr w:rsidR="00A36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3EF" w:rsidRDefault="00BA63EF" w:rsidP="007E0965">
      <w:r>
        <w:separator/>
      </w:r>
    </w:p>
  </w:endnote>
  <w:endnote w:type="continuationSeparator" w:id="0">
    <w:p w:rsidR="00BA63EF" w:rsidRDefault="00BA63EF" w:rsidP="007E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3EF" w:rsidRDefault="00BA63EF" w:rsidP="007E0965">
      <w:r>
        <w:separator/>
      </w:r>
    </w:p>
  </w:footnote>
  <w:footnote w:type="continuationSeparator" w:id="0">
    <w:p w:rsidR="00BA63EF" w:rsidRDefault="00BA63EF" w:rsidP="007E0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012"/>
    <w:multiLevelType w:val="multilevel"/>
    <w:tmpl w:val="0AD83012"/>
    <w:lvl w:ilvl="0">
      <w:start w:val="1"/>
      <w:numFmt w:val="upperLetter"/>
      <w:lvlText w:val="%1."/>
      <w:lvlJc w:val="left"/>
      <w:pPr>
        <w:ind w:left="360" w:hanging="360"/>
      </w:pPr>
      <w:rPr>
        <w:rFonts w:hint="default"/>
        <w:sz w:val="21"/>
        <w:szCs w:val="28"/>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B0E7567"/>
    <w:multiLevelType w:val="multilevel"/>
    <w:tmpl w:val="2B0E7567"/>
    <w:lvl w:ilvl="0">
      <w:start w:val="1"/>
      <w:numFmt w:val="lowerLetter"/>
      <w:lvlText w:val="%1."/>
      <w:lvlJc w:val="left"/>
      <w:pPr>
        <w:ind w:left="720" w:hanging="360"/>
      </w:pPr>
      <w:rPr>
        <w:rFonts w:asciiTheme="minorEastAsia" w:eastAsiaTheme="minorEastAsia" w:hAnsi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F5E95"/>
    <w:multiLevelType w:val="multilevel"/>
    <w:tmpl w:val="4C3F5E95"/>
    <w:lvl w:ilvl="0">
      <w:start w:val="1"/>
      <w:numFmt w:val="lowerLetter"/>
      <w:lvlText w:val="%1."/>
      <w:lvlJc w:val="left"/>
      <w:pPr>
        <w:ind w:left="720" w:hanging="360"/>
      </w:pPr>
      <w:rPr>
        <w:rFonts w:asciiTheme="minorEastAsia" w:eastAsiaTheme="minorEastAsia" w:hAnsi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3373E6"/>
    <w:multiLevelType w:val="multilevel"/>
    <w:tmpl w:val="6A3373E6"/>
    <w:lvl w:ilvl="0">
      <w:start w:val="1"/>
      <w:numFmt w:val="upperLetter"/>
      <w:lvlText w:val="%1."/>
      <w:lvlJc w:val="left"/>
      <w:pPr>
        <w:ind w:left="360" w:hanging="360"/>
      </w:pPr>
      <w:rPr>
        <w:rFonts w:hint="default"/>
        <w:sz w:val="21"/>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2B"/>
    <w:rsid w:val="000C07A2"/>
    <w:rsid w:val="000C2A53"/>
    <w:rsid w:val="001B6F91"/>
    <w:rsid w:val="002A3FBE"/>
    <w:rsid w:val="003F5042"/>
    <w:rsid w:val="004065BF"/>
    <w:rsid w:val="00443EC3"/>
    <w:rsid w:val="004F472B"/>
    <w:rsid w:val="005F308B"/>
    <w:rsid w:val="0062256B"/>
    <w:rsid w:val="0063555D"/>
    <w:rsid w:val="00660474"/>
    <w:rsid w:val="006A4695"/>
    <w:rsid w:val="006F5728"/>
    <w:rsid w:val="0074099C"/>
    <w:rsid w:val="007A4F76"/>
    <w:rsid w:val="007C15CE"/>
    <w:rsid w:val="007D0649"/>
    <w:rsid w:val="007E0965"/>
    <w:rsid w:val="00810C80"/>
    <w:rsid w:val="00860BCE"/>
    <w:rsid w:val="00876FCC"/>
    <w:rsid w:val="00896C34"/>
    <w:rsid w:val="008E3926"/>
    <w:rsid w:val="008E5203"/>
    <w:rsid w:val="00A36CCF"/>
    <w:rsid w:val="00A87F7A"/>
    <w:rsid w:val="00B65A19"/>
    <w:rsid w:val="00BA63EF"/>
    <w:rsid w:val="00C57B1D"/>
    <w:rsid w:val="00CF1B85"/>
    <w:rsid w:val="00D354C4"/>
    <w:rsid w:val="00DF3C76"/>
    <w:rsid w:val="00E91401"/>
    <w:rsid w:val="00EB7F95"/>
    <w:rsid w:val="00F45DEC"/>
    <w:rsid w:val="00F65930"/>
    <w:rsid w:val="00F872C2"/>
    <w:rsid w:val="00F95EB8"/>
    <w:rsid w:val="01423117"/>
    <w:rsid w:val="308409AB"/>
    <w:rsid w:val="5BFF6DFA"/>
    <w:rsid w:val="682E3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13C983-3856-47B7-B799-8CDB8B60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styleId="a8">
    <w:name w:val="Strong"/>
    <w:basedOn w:val="a0"/>
    <w:qFormat/>
    <w:rPr>
      <w:b/>
    </w:rPr>
  </w:style>
  <w:style w:type="character" w:styleId="a9">
    <w:name w:val="footnote reference"/>
    <w:rPr>
      <w:vertAlign w:val="superscript"/>
    </w:rPr>
  </w:style>
  <w:style w:type="character" w:customStyle="1" w:styleId="10">
    <w:name w:val="标题 1 字符"/>
    <w:link w:val="1"/>
    <w:qFormat/>
    <w:rPr>
      <w:b/>
      <w:kern w:val="44"/>
      <w:sz w:val="44"/>
    </w:rPr>
  </w:style>
  <w:style w:type="character" w:customStyle="1" w:styleId="20">
    <w:name w:val="标题 2 字符"/>
    <w:link w:val="2"/>
    <w:qFormat/>
    <w:rPr>
      <w:rFonts w:ascii="Arial" w:eastAsia="黑体" w:hAnsi="Arial"/>
      <w:b/>
      <w:sz w:val="32"/>
    </w:rPr>
  </w:style>
  <w:style w:type="paragraph" w:styleId="aa">
    <w:name w:val="List Paragraph"/>
    <w:basedOn w:val="a"/>
    <w:link w:val="ab"/>
    <w:uiPriority w:val="34"/>
    <w:unhideWhenUsed/>
    <w:qFormat/>
    <w:pPr>
      <w:ind w:firstLineChars="200" w:firstLine="420"/>
    </w:p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character" w:customStyle="1" w:styleId="ab">
    <w:name w:val="列出段落 字符"/>
    <w:link w:val="aa"/>
    <w:uiPriority w:val="34"/>
    <w:lock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CLARIVATE">
      <a:dk1>
        <a:srgbClr val="171616"/>
      </a:dk1>
      <a:lt1>
        <a:srgbClr val="FFFFFF"/>
      </a:lt1>
      <a:dk2>
        <a:srgbClr val="5E33BF"/>
      </a:dk2>
      <a:lt2>
        <a:srgbClr val="E7E6E6"/>
      </a:lt2>
      <a:accent1>
        <a:srgbClr val="5E33BF"/>
      </a:accent1>
      <a:accent2>
        <a:srgbClr val="16AB03"/>
      </a:accent2>
      <a:accent3>
        <a:srgbClr val="CF005B"/>
      </a:accent3>
      <a:accent4>
        <a:srgbClr val="FF4E3E"/>
      </a:accent4>
      <a:accent5>
        <a:srgbClr val="5693F5"/>
      </a:accent5>
      <a:accent6>
        <a:srgbClr val="001750"/>
      </a:accent6>
      <a:hlink>
        <a:srgbClr val="00B19C"/>
      </a:hlink>
      <a:folHlink>
        <a:srgbClr val="85F0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2021-02-26T07:37:00Z</dcterms:created>
  <dcterms:modified xsi:type="dcterms:W3CDTF">2021-02-26T07:37:00Z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