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细胞</w:t>
      </w:r>
      <w:r>
        <w:rPr>
          <w:rFonts w:ascii="宋体" w:hAnsi="宋体" w:hint="eastAsia"/>
          <w:b/>
          <w:sz w:val="24"/>
          <w:szCs w:val="24"/>
        </w:rPr>
        <w:t>分析系统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技术参数</w:t>
      </w:r>
    </w:p>
    <w:p>
      <w:pPr>
        <w:pStyle w:val="style0"/>
        <w:spacing w:lineRule="auto" w:line="360"/>
        <w:rPr>
          <w:rFonts w:ascii="宋体" w:hAnsi="宋体"/>
          <w:sz w:val="24"/>
          <w:szCs w:val="24"/>
        </w:rPr>
      </w:pPr>
    </w:p>
    <w:p>
      <w:pPr>
        <w:pStyle w:val="style0"/>
        <w:numPr>
          <w:ilvl w:val="0"/>
          <w:numId w:val="1"/>
        </w:numPr>
        <w:snapToGrid w:val="false"/>
        <w:spacing w:lineRule="auto" w:line="360"/>
        <w:rPr>
          <w:rFonts w:ascii="宋体" w:cs="等线" w:hAnsi="宋体"/>
          <w:b/>
          <w:bCs/>
          <w:sz w:val="24"/>
          <w:szCs w:val="24"/>
        </w:rPr>
      </w:pPr>
      <w:r>
        <w:rPr>
          <w:rFonts w:ascii="宋体" w:cs="等线" w:hAnsi="宋体" w:hint="eastAsia"/>
          <w:b/>
          <w:bCs/>
          <w:sz w:val="24"/>
          <w:szCs w:val="24"/>
        </w:rPr>
        <w:t>仪器主要用途：</w:t>
      </w:r>
    </w:p>
    <w:p>
      <w:pPr>
        <w:pStyle w:val="style0"/>
        <w:snapToGrid w:val="false"/>
        <w:spacing w:lineRule="auto" w:line="360"/>
        <w:ind w:left="210" w:leftChars="100"/>
        <w:rPr>
          <w:rFonts w:ascii="宋体" w:cs="等线" w:hAnsi="宋体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利用液滴及带有标签的凝胶微珠专利技术将细胞</w:t>
      </w:r>
      <w:r>
        <w:rPr>
          <w:rFonts w:ascii="宋体" w:hAnsi="宋体" w:hint="eastAsia"/>
          <w:sz w:val="24"/>
          <w:szCs w:val="24"/>
        </w:rPr>
        <w:t>群体样本快速进行分区，并添加序列标签，构建为带有可</w:t>
      </w:r>
      <w:r>
        <w:rPr>
          <w:rFonts w:ascii="宋体" w:cs="宋体" w:hAnsi="宋体" w:hint="eastAsia"/>
          <w:kern w:val="0"/>
          <w:sz w:val="24"/>
          <w:szCs w:val="24"/>
        </w:rPr>
        <w:t>追溯标签序列的</w:t>
      </w:r>
      <w:r>
        <w:rPr>
          <w:rFonts w:ascii="宋体" w:hAnsi="宋体" w:hint="eastAsia"/>
          <w:sz w:val="24"/>
          <w:szCs w:val="24"/>
        </w:rPr>
        <w:t>高通量测序文库，</w:t>
      </w:r>
      <w:r>
        <w:rPr>
          <w:rFonts w:ascii="宋体" w:cs="宋体" w:hAnsi="宋体" w:hint="eastAsia"/>
          <w:kern w:val="0"/>
          <w:sz w:val="24"/>
          <w:szCs w:val="24"/>
        </w:rPr>
        <w:t>通过</w:t>
      </w:r>
      <w:r>
        <w:rPr>
          <w:rFonts w:ascii="宋体" w:hAnsi="宋体" w:hint="eastAsia"/>
          <w:sz w:val="24"/>
          <w:szCs w:val="24"/>
        </w:rPr>
        <w:t>对构建好的高通量测序文库进行测序及解码分析，解读细胞群体的动态基因表达谱，免疫细胞多样性谱库，以及基因组染色质开放区域（</w:t>
      </w:r>
      <w:r>
        <w:rPr>
          <w:rFonts w:ascii="宋体" w:hAnsi="宋体" w:hint="eastAsia"/>
          <w:sz w:val="24"/>
          <w:szCs w:val="24"/>
        </w:rPr>
        <w:t>ATAC-Seq</w:t>
      </w:r>
      <w:r>
        <w:rPr>
          <w:rFonts w:ascii="宋体" w:hAnsi="宋体" w:hint="eastAsia"/>
          <w:sz w:val="24"/>
          <w:szCs w:val="24"/>
        </w:rPr>
        <w:t>）。</w:t>
      </w:r>
    </w:p>
    <w:p>
      <w:pPr>
        <w:pStyle w:val="style0"/>
        <w:shd w:val="clear" w:color="auto" w:fill="ffffff"/>
        <w:snapToGrid w:val="false"/>
        <w:spacing w:lineRule="auto" w:line="360"/>
        <w:rPr>
          <w:rFonts w:ascii="宋体" w:cs="等线" w:hAnsi="宋体"/>
          <w:b/>
          <w:bCs/>
          <w:sz w:val="24"/>
          <w:szCs w:val="24"/>
        </w:rPr>
      </w:pPr>
      <w:r>
        <w:rPr>
          <w:rFonts w:ascii="宋体" w:cs="等线" w:hAnsi="宋体" w:hint="eastAsia"/>
          <w:b/>
          <w:bCs/>
          <w:sz w:val="24"/>
          <w:szCs w:val="24"/>
        </w:rPr>
        <w:t>2.</w:t>
      </w:r>
      <w:r>
        <w:rPr>
          <w:rFonts w:ascii="宋体" w:cs="等线" w:hAnsi="宋体" w:hint="eastAsia"/>
          <w:b/>
          <w:bCs/>
          <w:sz w:val="24"/>
          <w:szCs w:val="24"/>
        </w:rPr>
        <w:t>仪器工作条件：</w:t>
      </w:r>
    </w:p>
    <w:p>
      <w:pPr>
        <w:pStyle w:val="style0"/>
        <w:shd w:val="clear" w:color="auto" w:fill="ffffff"/>
        <w:snapToGrid w:val="false"/>
        <w:spacing w:lineRule="auto" w:line="360"/>
        <w:ind w:left="210" w:left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2.1</w:t>
      </w:r>
      <w:r>
        <w:rPr>
          <w:rFonts w:ascii="宋体" w:cs="等线" w:hAnsi="宋体" w:hint="eastAsia"/>
          <w:bCs/>
          <w:sz w:val="24"/>
          <w:szCs w:val="24"/>
        </w:rPr>
        <w:t>电源要求：</w:t>
      </w:r>
      <w:r>
        <w:rPr>
          <w:rFonts w:ascii="宋体" w:cs="等线" w:hAnsi="宋体" w:hint="eastAsia"/>
          <w:bCs/>
          <w:sz w:val="24"/>
          <w:szCs w:val="24"/>
        </w:rPr>
        <w:t>100-240V</w:t>
      </w:r>
      <w:r>
        <w:rPr>
          <w:rFonts w:ascii="宋体" w:cs="等线" w:hAnsi="宋体" w:hint="eastAsia"/>
          <w:bCs/>
          <w:sz w:val="24"/>
          <w:szCs w:val="24"/>
        </w:rPr>
        <w:t>，</w:t>
      </w:r>
      <w:r>
        <w:rPr>
          <w:rFonts w:ascii="宋体" w:cs="等线" w:hAnsi="宋体" w:hint="eastAsia"/>
          <w:bCs/>
          <w:sz w:val="24"/>
          <w:szCs w:val="24"/>
        </w:rPr>
        <w:t>50-60Hz</w:t>
      </w:r>
      <w:r>
        <w:rPr>
          <w:rFonts w:ascii="宋体" w:cs="等线" w:hAnsi="宋体" w:hint="eastAsia"/>
          <w:bCs/>
          <w:sz w:val="24"/>
          <w:szCs w:val="24"/>
        </w:rPr>
        <w:t>，</w:t>
      </w:r>
    </w:p>
    <w:p>
      <w:pPr>
        <w:pStyle w:val="style0"/>
        <w:shd w:val="clear" w:color="auto" w:fill="ffffff"/>
        <w:snapToGrid w:val="false"/>
        <w:spacing w:lineRule="auto" w:line="360"/>
        <w:ind w:left="210" w:left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2.2</w:t>
      </w:r>
      <w:r>
        <w:rPr>
          <w:rFonts w:ascii="宋体" w:cs="等线" w:hAnsi="宋体" w:hint="eastAsia"/>
          <w:bCs/>
          <w:sz w:val="24"/>
          <w:szCs w:val="24"/>
        </w:rPr>
        <w:t>洁净度：</w:t>
      </w:r>
      <w:r>
        <w:rPr>
          <w:rFonts w:ascii="宋体" w:cs="等线" w:hAnsi="宋体" w:hint="eastAsia"/>
          <w:bCs/>
          <w:sz w:val="24"/>
          <w:szCs w:val="24"/>
        </w:rPr>
        <w:t>2</w:t>
      </w:r>
      <w:r>
        <w:rPr>
          <w:rFonts w:ascii="宋体" w:cs="等线" w:hAnsi="宋体" w:hint="eastAsia"/>
          <w:bCs/>
          <w:sz w:val="24"/>
          <w:szCs w:val="24"/>
        </w:rPr>
        <w:t>级（仅适用于室内使用）</w:t>
      </w:r>
    </w:p>
    <w:p>
      <w:pPr>
        <w:pStyle w:val="style0"/>
        <w:shd w:val="clear" w:color="auto" w:fill="ffffff"/>
        <w:snapToGrid w:val="false"/>
        <w:spacing w:lineRule="auto" w:line="360"/>
        <w:ind w:left="210" w:left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2.3</w:t>
      </w:r>
      <w:r>
        <w:rPr>
          <w:rFonts w:ascii="宋体" w:cs="等线" w:hAnsi="宋体" w:hint="eastAsia"/>
          <w:bCs/>
          <w:sz w:val="24"/>
          <w:szCs w:val="24"/>
        </w:rPr>
        <w:t>使用温度要求：</w:t>
      </w:r>
      <w:r>
        <w:rPr>
          <w:rFonts w:ascii="宋体" w:cs="等线" w:hAnsi="宋体" w:hint="eastAsia"/>
          <w:bCs/>
          <w:sz w:val="24"/>
          <w:szCs w:val="24"/>
        </w:rPr>
        <w:t>18-28</w:t>
      </w:r>
      <w:r>
        <w:rPr>
          <w:rFonts w:ascii="宋体" w:cs="等线" w:hAnsi="宋体" w:hint="eastAsia"/>
          <w:bCs/>
          <w:sz w:val="24"/>
          <w:szCs w:val="24"/>
        </w:rPr>
        <w:t>摄氏度</w:t>
      </w:r>
    </w:p>
    <w:p>
      <w:pPr>
        <w:pStyle w:val="style0"/>
        <w:shd w:val="clear" w:color="auto" w:fill="ffffff"/>
        <w:snapToGrid w:val="false"/>
        <w:spacing w:lineRule="auto" w:line="360"/>
        <w:ind w:left="210" w:left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 xml:space="preserve">2.4 </w:t>
      </w:r>
      <w:r>
        <w:rPr>
          <w:rFonts w:ascii="宋体" w:cs="等线" w:hAnsi="宋体" w:hint="eastAsia"/>
          <w:bCs/>
          <w:sz w:val="24"/>
          <w:szCs w:val="24"/>
        </w:rPr>
        <w:t>湿度：最大</w:t>
      </w:r>
      <w:r>
        <w:rPr>
          <w:rFonts w:ascii="宋体" w:cs="等线" w:hAnsi="宋体" w:hint="eastAsia"/>
          <w:bCs/>
          <w:sz w:val="24"/>
          <w:szCs w:val="24"/>
        </w:rPr>
        <w:t>85%</w:t>
      </w:r>
      <w:r>
        <w:rPr>
          <w:rFonts w:ascii="宋体" w:cs="等线" w:hAnsi="宋体" w:hint="eastAsia"/>
          <w:bCs/>
          <w:sz w:val="24"/>
          <w:szCs w:val="24"/>
        </w:rPr>
        <w:t>（无冷凝）</w:t>
      </w:r>
    </w:p>
    <w:p>
      <w:pPr>
        <w:pStyle w:val="style0"/>
        <w:snapToGrid w:val="false"/>
        <w:spacing w:lineRule="auto" w:line="360"/>
        <w:ind w:left="630" w:leftChars="100" w:hanging="42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 xml:space="preserve">2.5 </w:t>
      </w:r>
      <w:r>
        <w:rPr>
          <w:rFonts w:ascii="宋体" w:cs="等线" w:hAnsi="宋体" w:hint="eastAsia"/>
          <w:bCs/>
          <w:sz w:val="24"/>
          <w:szCs w:val="24"/>
        </w:rPr>
        <w:t>海拔高度：</w:t>
      </w:r>
      <w:r>
        <w:rPr>
          <w:rFonts w:ascii="宋体" w:cs="等线" w:hAnsi="宋体" w:hint="eastAsia"/>
          <w:bCs/>
          <w:sz w:val="24"/>
          <w:szCs w:val="24"/>
        </w:rPr>
        <w:t>0-2000</w:t>
      </w:r>
      <w:r>
        <w:rPr>
          <w:rFonts w:ascii="宋体" w:cs="等线" w:hAnsi="宋体" w:hint="eastAsia"/>
          <w:bCs/>
          <w:sz w:val="24"/>
          <w:szCs w:val="24"/>
        </w:rPr>
        <w:t>米</w:t>
      </w:r>
    </w:p>
    <w:p>
      <w:pPr>
        <w:pStyle w:val="style0"/>
        <w:snapToGrid w:val="false"/>
        <w:spacing w:lineRule="auto" w:line="360"/>
        <w:rPr>
          <w:rFonts w:ascii="宋体" w:cs="等线" w:hAnsi="宋体"/>
          <w:b/>
          <w:bCs/>
          <w:sz w:val="24"/>
          <w:szCs w:val="24"/>
        </w:rPr>
      </w:pPr>
      <w:r>
        <w:rPr>
          <w:rFonts w:ascii="宋体" w:cs="等线" w:hAnsi="宋体" w:hint="eastAsia"/>
          <w:b/>
          <w:bCs/>
          <w:sz w:val="24"/>
          <w:szCs w:val="24"/>
        </w:rPr>
        <w:t>3.</w:t>
      </w:r>
      <w:r>
        <w:rPr>
          <w:rFonts w:ascii="宋体" w:cs="等线" w:hAnsi="宋体" w:hint="eastAsia"/>
          <w:b/>
          <w:bCs/>
          <w:sz w:val="24"/>
          <w:szCs w:val="24"/>
        </w:rPr>
        <w:t>技术规格</w:t>
      </w:r>
    </w:p>
    <w:p>
      <w:pPr>
        <w:pStyle w:val="style0"/>
        <w:snapToGrid w:val="false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3.1</w:t>
      </w:r>
      <w:r>
        <w:rPr>
          <w:rFonts w:ascii="宋体" w:cs="等线" w:hAnsi="宋体" w:hint="eastAsia"/>
          <w:bCs/>
          <w:sz w:val="24"/>
          <w:szCs w:val="24"/>
        </w:rPr>
        <w:t>仪器功能：</w:t>
      </w:r>
    </w:p>
    <w:p>
      <w:pPr>
        <w:pStyle w:val="style0"/>
        <w:snapToGrid w:val="false"/>
        <w:spacing w:lineRule="auto" w:line="360"/>
        <w:ind w:firstLine="24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3.1.1</w:t>
      </w:r>
      <w:r>
        <w:rPr>
          <w:rFonts w:ascii="宋体" w:cs="等线" w:hAnsi="宋体" w:hint="eastAsia"/>
          <w:bCs/>
          <w:sz w:val="24"/>
          <w:szCs w:val="24"/>
        </w:rPr>
        <w:t>构建细胞</w:t>
      </w:r>
      <w:r>
        <w:rPr>
          <w:rFonts w:ascii="宋体" w:cs="等线" w:hAnsi="宋体" w:hint="eastAsia"/>
          <w:bCs/>
          <w:sz w:val="24"/>
          <w:szCs w:val="24"/>
        </w:rPr>
        <w:t>3</w:t>
      </w:r>
      <w:r>
        <w:rPr>
          <w:rFonts w:ascii="宋体" w:cs="等线" w:hAnsi="宋体"/>
          <w:bCs/>
          <w:sz w:val="24"/>
          <w:szCs w:val="24"/>
        </w:rPr>
        <w:t>’</w:t>
      </w:r>
      <w:r>
        <w:rPr>
          <w:rFonts w:ascii="宋体" w:cs="等线" w:hAnsi="宋体" w:hint="eastAsia"/>
          <w:bCs/>
          <w:sz w:val="24"/>
          <w:szCs w:val="24"/>
        </w:rPr>
        <w:t>基因表达谱文库及解码分析；</w:t>
      </w:r>
    </w:p>
    <w:p>
      <w:pPr>
        <w:pStyle w:val="style0"/>
        <w:snapToGrid w:val="false"/>
        <w:spacing w:lineRule="auto" w:line="360"/>
        <w:ind w:firstLine="240" w:firstLine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3.1.2</w:t>
      </w:r>
      <w:r>
        <w:rPr>
          <w:rFonts w:ascii="宋体" w:cs="等线" w:hAnsi="宋体" w:hint="eastAsia"/>
          <w:bCs/>
          <w:sz w:val="24"/>
          <w:szCs w:val="24"/>
        </w:rPr>
        <w:t>构建细胞</w:t>
      </w:r>
      <w:r>
        <w:rPr>
          <w:rFonts w:ascii="宋体" w:cs="等线" w:hAnsi="宋体" w:hint="eastAsia"/>
          <w:bCs/>
          <w:sz w:val="24"/>
          <w:szCs w:val="24"/>
        </w:rPr>
        <w:t>5</w:t>
      </w:r>
      <w:r>
        <w:rPr>
          <w:rFonts w:ascii="宋体" w:cs="等线" w:hAnsi="宋体" w:hint="eastAsia"/>
          <w:bCs/>
          <w:sz w:val="24"/>
          <w:szCs w:val="24"/>
        </w:rPr>
        <w:t>’基因表达谱文库及解码分析；</w:t>
      </w:r>
    </w:p>
    <w:p>
      <w:pPr>
        <w:pStyle w:val="style0"/>
        <w:snapToGrid w:val="false"/>
        <w:spacing w:lineRule="auto" w:line="360"/>
        <w:ind w:firstLine="240" w:firstLine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#3.1.3</w:t>
      </w:r>
      <w:r>
        <w:rPr>
          <w:rFonts w:ascii="宋体" w:cs="等线" w:hAnsi="宋体" w:hint="eastAsia"/>
          <w:bCs/>
          <w:sz w:val="24"/>
          <w:szCs w:val="24"/>
        </w:rPr>
        <w:t>构建细胞</w:t>
      </w:r>
      <w:r>
        <w:rPr>
          <w:rFonts w:ascii="宋体" w:cs="等线" w:hAnsi="宋体" w:hint="eastAsia"/>
          <w:bCs/>
          <w:sz w:val="24"/>
          <w:szCs w:val="24"/>
        </w:rPr>
        <w:t>T</w:t>
      </w:r>
      <w:r>
        <w:rPr>
          <w:rFonts w:ascii="宋体" w:cs="等线" w:hAnsi="宋体" w:hint="eastAsia"/>
          <w:bCs/>
          <w:sz w:val="24"/>
          <w:szCs w:val="24"/>
        </w:rPr>
        <w:t>细胞受体和</w:t>
      </w:r>
      <w:r>
        <w:rPr>
          <w:rFonts w:ascii="宋体" w:cs="等线" w:hAnsi="宋体" w:hint="eastAsia"/>
          <w:bCs/>
          <w:sz w:val="24"/>
          <w:szCs w:val="24"/>
        </w:rPr>
        <w:t>B</w:t>
      </w:r>
      <w:r>
        <w:rPr>
          <w:rFonts w:ascii="宋体" w:cs="等线" w:hAnsi="宋体" w:hint="eastAsia"/>
          <w:bCs/>
          <w:sz w:val="24"/>
          <w:szCs w:val="24"/>
        </w:rPr>
        <w:t>细胞受体中的</w:t>
      </w:r>
      <w:r>
        <w:rPr>
          <w:rFonts w:ascii="宋体" w:cs="等线" w:hAnsi="宋体" w:hint="eastAsia"/>
          <w:bCs/>
          <w:sz w:val="24"/>
          <w:szCs w:val="24"/>
        </w:rPr>
        <w:t>V</w:t>
      </w:r>
      <w:r>
        <w:rPr>
          <w:rFonts w:ascii="宋体" w:cs="等线" w:hAnsi="宋体"/>
          <w:bCs/>
          <w:sz w:val="24"/>
          <w:szCs w:val="24"/>
        </w:rPr>
        <w:t>(</w:t>
      </w:r>
      <w:r>
        <w:rPr>
          <w:rFonts w:ascii="宋体" w:cs="等线" w:hAnsi="宋体" w:hint="eastAsia"/>
          <w:bCs/>
          <w:sz w:val="24"/>
          <w:szCs w:val="24"/>
        </w:rPr>
        <w:t>D</w:t>
      </w:r>
      <w:r>
        <w:rPr>
          <w:rFonts w:ascii="宋体" w:cs="等线" w:hAnsi="宋体"/>
          <w:bCs/>
          <w:sz w:val="24"/>
          <w:szCs w:val="24"/>
        </w:rPr>
        <w:t>)</w:t>
      </w:r>
      <w:r>
        <w:rPr>
          <w:rFonts w:ascii="宋体" w:cs="等线" w:hAnsi="宋体" w:hint="eastAsia"/>
          <w:bCs/>
          <w:sz w:val="24"/>
          <w:szCs w:val="24"/>
        </w:rPr>
        <w:t>J</w:t>
      </w:r>
      <w:r>
        <w:rPr>
          <w:rFonts w:ascii="宋体" w:cs="等线" w:hAnsi="宋体" w:hint="eastAsia"/>
          <w:bCs/>
          <w:sz w:val="24"/>
          <w:szCs w:val="24"/>
        </w:rPr>
        <w:t>区域全长测序文库及解码分析；</w:t>
      </w:r>
    </w:p>
    <w:p>
      <w:pPr>
        <w:pStyle w:val="style0"/>
        <w:snapToGrid w:val="false"/>
        <w:spacing w:lineRule="auto" w:line="360"/>
        <w:ind w:firstLine="240" w:firstLine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#3.1.4</w:t>
      </w:r>
      <w:r>
        <w:rPr>
          <w:rFonts w:ascii="宋体" w:cs="等线" w:hAnsi="宋体" w:hint="eastAsia"/>
          <w:bCs/>
          <w:sz w:val="24"/>
          <w:szCs w:val="24"/>
        </w:rPr>
        <w:t>构建细胞</w:t>
      </w:r>
      <w:r>
        <w:rPr>
          <w:rFonts w:ascii="宋体" w:cs="等线" w:hAnsi="宋体" w:hint="eastAsia"/>
          <w:bCs/>
          <w:sz w:val="24"/>
          <w:szCs w:val="24"/>
        </w:rPr>
        <w:t>染色质开放区域测序文库</w:t>
      </w:r>
      <w:r>
        <w:rPr>
          <w:rFonts w:ascii="宋体" w:cs="等线" w:hAnsi="宋体" w:hint="eastAsia"/>
          <w:bCs/>
          <w:sz w:val="24"/>
          <w:szCs w:val="24"/>
        </w:rPr>
        <w:t>(</w:t>
      </w:r>
      <w:r>
        <w:rPr>
          <w:rFonts w:ascii="宋体" w:cs="等线" w:hAnsi="宋体"/>
          <w:bCs/>
          <w:sz w:val="24"/>
          <w:szCs w:val="24"/>
        </w:rPr>
        <w:t>ATAC-Seq)</w:t>
      </w:r>
      <w:r>
        <w:rPr>
          <w:rFonts w:ascii="宋体" w:cs="等线" w:hAnsi="宋体" w:hint="eastAsia"/>
          <w:bCs/>
          <w:sz w:val="24"/>
          <w:szCs w:val="24"/>
        </w:rPr>
        <w:t>文库及解码分析；</w:t>
      </w:r>
    </w:p>
    <w:p>
      <w:pPr>
        <w:pStyle w:val="style0"/>
        <w:shd w:val="clear" w:color="auto" w:fill="ffffff"/>
        <w:spacing w:lineRule="auto" w:line="360"/>
        <w:rPr>
          <w:rFonts w:ascii="宋体" w:cs="宋体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</w:t>
      </w:r>
      <w:r>
        <w:rPr>
          <w:rFonts w:ascii="宋体" w:cs="等线" w:hAnsi="宋体"/>
          <w:bCs/>
          <w:sz w:val="24"/>
          <w:szCs w:val="24"/>
        </w:rPr>
        <w:t xml:space="preserve">2 </w:t>
      </w:r>
      <w:r>
        <w:rPr>
          <w:rFonts w:ascii="宋体" w:cs="等线" w:hAnsi="宋体" w:hint="eastAsia"/>
          <w:bCs/>
          <w:sz w:val="24"/>
          <w:szCs w:val="24"/>
        </w:rPr>
        <w:t>制备微滴数量：</w:t>
      </w:r>
      <w:r>
        <w:rPr>
          <w:rFonts w:ascii="宋体" w:cs="宋体" w:hAnsi="宋体" w:hint="eastAsia"/>
          <w:bCs/>
          <w:sz w:val="24"/>
          <w:szCs w:val="24"/>
        </w:rPr>
        <w:t>每个微流体芯片通道最多可产生</w:t>
      </w:r>
      <w:r>
        <w:rPr>
          <w:rFonts w:ascii="宋体" w:cs="宋体" w:hAnsi="宋体" w:hint="eastAsia"/>
          <w:bCs/>
          <w:sz w:val="24"/>
          <w:szCs w:val="24"/>
        </w:rPr>
        <w:t>6</w:t>
      </w:r>
      <w:r>
        <w:rPr>
          <w:rFonts w:ascii="宋体" w:cs="宋体" w:hAnsi="宋体"/>
          <w:bCs/>
          <w:sz w:val="24"/>
          <w:szCs w:val="24"/>
        </w:rPr>
        <w:t>0</w:t>
      </w:r>
      <w:r>
        <w:rPr>
          <w:rFonts w:ascii="宋体" w:cs="宋体" w:hAnsi="宋体" w:hint="eastAsia"/>
          <w:bCs/>
          <w:sz w:val="24"/>
          <w:szCs w:val="24"/>
        </w:rPr>
        <w:t>万个油包水微滴；</w:t>
      </w:r>
    </w:p>
    <w:p>
      <w:pPr>
        <w:pStyle w:val="style0"/>
        <w:shd w:val="clear" w:color="auto" w:fill="ffffff"/>
        <w:spacing w:lineRule="auto" w:line="360"/>
        <w:rPr>
          <w:rFonts w:ascii="宋体" w:cs="宋体" w:hAnsi="宋体"/>
          <w:sz w:val="24"/>
          <w:szCs w:val="22"/>
        </w:rPr>
      </w:pPr>
      <w:r>
        <w:rPr>
          <w:rFonts w:ascii="宋体" w:cs="宋体" w:hAnsi="宋体" w:hint="eastAsia"/>
          <w:bCs/>
          <w:sz w:val="24"/>
          <w:szCs w:val="24"/>
        </w:rPr>
        <w:t>3.3</w:t>
      </w:r>
      <w:r>
        <w:rPr>
          <w:rFonts w:ascii="宋体" w:cs="宋体" w:hAnsi="宋体"/>
          <w:bCs/>
          <w:sz w:val="24"/>
          <w:szCs w:val="24"/>
        </w:rPr>
        <w:t xml:space="preserve"> </w:t>
      </w:r>
      <w:r>
        <w:rPr>
          <w:rFonts w:ascii="宋体" w:cs="宋体" w:hAnsi="宋体" w:hint="eastAsia"/>
          <w:bCs/>
          <w:sz w:val="24"/>
          <w:szCs w:val="24"/>
        </w:rPr>
        <w:t>微流控液路通道孔径</w:t>
      </w:r>
      <w:r>
        <w:rPr>
          <w:rFonts w:ascii="宋体" w:cs="宋体" w:hAnsi="宋体" w:hint="eastAsia"/>
          <w:bCs/>
          <w:sz w:val="24"/>
          <w:szCs w:val="24"/>
        </w:rPr>
        <w:t>:</w:t>
      </w:r>
      <w:r>
        <w:rPr>
          <w:rFonts w:ascii="宋体" w:cs="宋体" w:hAnsi="宋体" w:hint="eastAsia"/>
          <w:sz w:val="24"/>
          <w:szCs w:val="22"/>
        </w:rPr>
        <w:t>50uM</w:t>
      </w:r>
    </w:p>
    <w:p>
      <w:pPr>
        <w:pStyle w:val="style0"/>
        <w:shd w:val="clear" w:color="auto" w:fill="ffffff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宋体" w:hAnsi="宋体" w:hint="eastAsia"/>
          <w:sz w:val="24"/>
          <w:szCs w:val="22"/>
        </w:rPr>
        <w:t>3.4</w:t>
      </w:r>
      <w:r>
        <w:rPr>
          <w:rFonts w:ascii="宋体" w:cs="宋体" w:hAnsi="宋体" w:hint="eastAsia"/>
          <w:bCs/>
          <w:sz w:val="24"/>
          <w:szCs w:val="24"/>
        </w:rPr>
        <w:t>生成油滴包被凝胶微珠的数量及标签数：每次运行生成</w:t>
      </w:r>
      <w:r>
        <w:rPr>
          <w:rFonts w:ascii="宋体" w:cs="宋体" w:hAnsi="宋体" w:hint="eastAsia"/>
          <w:bCs/>
          <w:sz w:val="24"/>
          <w:szCs w:val="24"/>
        </w:rPr>
        <w:t>8</w:t>
      </w:r>
      <w:r>
        <w:rPr>
          <w:rFonts w:ascii="宋体" w:cs="宋体" w:hAnsi="宋体" w:hint="eastAsia"/>
          <w:bCs/>
          <w:sz w:val="24"/>
          <w:szCs w:val="24"/>
        </w:rPr>
        <w:t>万个以上纳升级凝胶微珠分区，凝胶微珠上包含有</w:t>
      </w:r>
      <w:r>
        <w:rPr>
          <w:rFonts w:ascii="宋体" w:cs="宋体" w:hAnsi="宋体" w:hint="eastAsia"/>
          <w:bCs/>
          <w:sz w:val="24"/>
          <w:szCs w:val="24"/>
        </w:rPr>
        <w:t>70</w:t>
      </w:r>
      <w:r>
        <w:rPr>
          <w:rFonts w:ascii="宋体" w:cs="宋体" w:hAnsi="宋体" w:hint="eastAsia"/>
          <w:bCs/>
          <w:sz w:val="24"/>
          <w:szCs w:val="24"/>
        </w:rPr>
        <w:t>万以上序列标签；</w:t>
      </w:r>
    </w:p>
    <w:p>
      <w:pPr>
        <w:pStyle w:val="style0"/>
        <w:shd w:val="clear" w:color="auto" w:fill="ffffff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hint="eastAsia"/>
          <w:sz w:val="24"/>
        </w:rPr>
        <w:t>#</w:t>
      </w:r>
      <w:r>
        <w:rPr>
          <w:rFonts w:ascii="宋体" w:cs="等线" w:hAnsi="宋体" w:hint="eastAsia"/>
          <w:bCs/>
          <w:sz w:val="24"/>
          <w:szCs w:val="24"/>
        </w:rPr>
        <w:t>3.5</w:t>
      </w:r>
      <w:r>
        <w:rPr>
          <w:rFonts w:ascii="宋体" w:cs="等线" w:hAnsi="宋体"/>
          <w:bCs/>
          <w:sz w:val="24"/>
          <w:szCs w:val="24"/>
        </w:rPr>
        <w:t xml:space="preserve"> </w:t>
      </w:r>
      <w:r>
        <w:rPr>
          <w:rFonts w:ascii="宋体" w:cs="等线" w:hAnsi="宋体" w:hint="eastAsia"/>
          <w:bCs/>
          <w:sz w:val="24"/>
          <w:szCs w:val="24"/>
        </w:rPr>
        <w:t>微滴发生时间及捕获细胞效率：</w:t>
      </w:r>
      <w:r>
        <w:rPr>
          <w:rFonts w:ascii="宋体" w:cs="等线" w:hAnsi="宋体" w:hint="eastAsia"/>
          <w:bCs/>
          <w:sz w:val="24"/>
          <w:szCs w:val="24"/>
        </w:rPr>
        <w:t>20</w:t>
      </w:r>
      <w:r>
        <w:rPr>
          <w:rFonts w:ascii="宋体" w:cs="等线" w:hAnsi="宋体" w:hint="eastAsia"/>
          <w:bCs/>
          <w:sz w:val="24"/>
          <w:szCs w:val="24"/>
        </w:rPr>
        <w:t>分钟以内生成</w:t>
      </w:r>
      <w:r>
        <w:rPr>
          <w:rFonts w:ascii="宋体" w:cs="等线" w:hAnsi="宋体" w:hint="eastAsia"/>
          <w:bCs/>
          <w:sz w:val="24"/>
          <w:szCs w:val="24"/>
        </w:rPr>
        <w:t>10</w:t>
      </w:r>
      <w:r>
        <w:rPr>
          <w:rFonts w:ascii="宋体" w:cs="等线" w:hAnsi="宋体" w:hint="eastAsia"/>
          <w:bCs/>
          <w:sz w:val="24"/>
          <w:szCs w:val="24"/>
        </w:rPr>
        <w:t>万个微滴包被细胞，捕获效率在</w:t>
      </w:r>
      <w:r>
        <w:rPr>
          <w:rFonts w:ascii="宋体" w:cs="等线" w:hAnsi="宋体" w:hint="eastAsia"/>
          <w:bCs/>
          <w:sz w:val="24"/>
          <w:szCs w:val="24"/>
        </w:rPr>
        <w:t>50%</w:t>
      </w:r>
      <w:r>
        <w:rPr>
          <w:rFonts w:ascii="宋体" w:cs="等线" w:hAnsi="宋体" w:hint="eastAsia"/>
          <w:bCs/>
          <w:sz w:val="24"/>
          <w:szCs w:val="24"/>
        </w:rPr>
        <w:t>以上</w:t>
      </w:r>
    </w:p>
    <w:p>
      <w:pPr>
        <w:pStyle w:val="style0"/>
        <w:shd w:val="clear" w:color="auto" w:fill="ffffff"/>
        <w:snapToGrid w:val="false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3.6</w:t>
      </w:r>
      <w:r>
        <w:rPr>
          <w:rFonts w:ascii="宋体" w:cs="等线" w:hAnsi="宋体"/>
          <w:bCs/>
          <w:sz w:val="24"/>
          <w:szCs w:val="24"/>
        </w:rPr>
        <w:t xml:space="preserve"> </w:t>
      </w:r>
      <w:r>
        <w:rPr>
          <w:rFonts w:ascii="宋体" w:cs="等线" w:hAnsi="宋体" w:hint="eastAsia"/>
          <w:bCs/>
          <w:sz w:val="24"/>
          <w:szCs w:val="24"/>
        </w:rPr>
        <w:t>仪器通量：每次最多可运行</w:t>
      </w:r>
      <w:r>
        <w:rPr>
          <w:rFonts w:ascii="宋体" w:cs="等线" w:hAnsi="宋体" w:hint="eastAsia"/>
          <w:bCs/>
          <w:sz w:val="24"/>
          <w:szCs w:val="24"/>
        </w:rPr>
        <w:t>8</w:t>
      </w:r>
      <w:r>
        <w:rPr>
          <w:rFonts w:ascii="宋体" w:cs="等线" w:hAnsi="宋体" w:hint="eastAsia"/>
          <w:bCs/>
          <w:sz w:val="24"/>
          <w:szCs w:val="24"/>
        </w:rPr>
        <w:t>个样品；</w:t>
      </w:r>
    </w:p>
    <w:p>
      <w:pPr>
        <w:pStyle w:val="style0"/>
        <w:snapToGrid w:val="false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/>
          <w:bCs/>
          <w:sz w:val="24"/>
          <w:szCs w:val="24"/>
        </w:rPr>
        <w:t>3.</w:t>
      </w:r>
      <w:r>
        <w:rPr>
          <w:rFonts w:ascii="宋体" w:cs="等线" w:hAnsi="宋体" w:hint="eastAsia"/>
          <w:bCs/>
          <w:sz w:val="24"/>
          <w:szCs w:val="24"/>
        </w:rPr>
        <w:t>7.</w:t>
      </w:r>
      <w:r>
        <w:rPr>
          <w:rFonts w:ascii="宋体" w:cs="等线" w:hAnsi="宋体" w:hint="eastAsia"/>
          <w:bCs/>
          <w:sz w:val="24"/>
          <w:szCs w:val="24"/>
        </w:rPr>
        <w:t>分析软件运行硬件环境最低配置要求：</w:t>
      </w:r>
      <w:r>
        <w:rPr>
          <w:rFonts w:ascii="宋体" w:cs="等线" w:hAnsi="宋体" w:hint="eastAsia"/>
          <w:bCs/>
          <w:sz w:val="24"/>
          <w:szCs w:val="24"/>
        </w:rPr>
        <w:t>16</w:t>
      </w:r>
      <w:r>
        <w:rPr>
          <w:rFonts w:ascii="宋体" w:cs="等线" w:hAnsi="宋体" w:hint="eastAsia"/>
          <w:bCs/>
          <w:sz w:val="24"/>
          <w:szCs w:val="24"/>
        </w:rPr>
        <w:t>核</w:t>
      </w:r>
      <w:r>
        <w:rPr>
          <w:rFonts w:ascii="宋体" w:cs="等线" w:hAnsi="宋体"/>
          <w:bCs/>
          <w:sz w:val="24"/>
          <w:szCs w:val="24"/>
        </w:rPr>
        <w:t xml:space="preserve">Intel </w:t>
      </w:r>
      <w:r>
        <w:rPr>
          <w:rFonts w:ascii="宋体" w:cs="等线" w:hAnsi="宋体" w:hint="eastAsia"/>
          <w:bCs/>
          <w:sz w:val="24"/>
          <w:szCs w:val="24"/>
        </w:rPr>
        <w:t>或</w:t>
      </w:r>
      <w:r>
        <w:rPr>
          <w:rFonts w:ascii="宋体" w:cs="等线" w:hAnsi="宋体"/>
          <w:bCs/>
          <w:sz w:val="24"/>
          <w:szCs w:val="24"/>
        </w:rPr>
        <w:t xml:space="preserve"> AMD </w:t>
      </w:r>
      <w:r>
        <w:rPr>
          <w:rFonts w:ascii="宋体" w:cs="等线" w:hAnsi="宋体" w:hint="eastAsia"/>
          <w:bCs/>
          <w:sz w:val="24"/>
          <w:szCs w:val="24"/>
        </w:rPr>
        <w:t>处理器，</w:t>
      </w:r>
      <w:r>
        <w:rPr>
          <w:rFonts w:ascii="宋体" w:cs="等线" w:hAnsi="宋体" w:hint="eastAsia"/>
          <w:bCs/>
          <w:sz w:val="24"/>
          <w:szCs w:val="24"/>
        </w:rPr>
        <w:t xml:space="preserve">128 </w:t>
      </w:r>
      <w:r>
        <w:rPr>
          <w:rFonts w:ascii="宋体" w:cs="等线" w:hAnsi="宋体"/>
          <w:bCs/>
          <w:sz w:val="24"/>
          <w:szCs w:val="24"/>
        </w:rPr>
        <w:t>GB</w:t>
      </w:r>
      <w:r>
        <w:rPr>
          <w:rFonts w:ascii="宋体" w:cs="等线" w:hAnsi="宋体" w:hint="eastAsia"/>
          <w:bCs/>
          <w:sz w:val="24"/>
          <w:szCs w:val="24"/>
        </w:rPr>
        <w:t xml:space="preserve"> </w:t>
      </w:r>
      <w:r>
        <w:rPr>
          <w:rFonts w:ascii="宋体" w:cs="等线" w:hAnsi="宋体" w:hint="eastAsia"/>
          <w:bCs/>
          <w:sz w:val="24"/>
          <w:szCs w:val="24"/>
        </w:rPr>
        <w:t>内存，</w:t>
      </w:r>
      <w:r>
        <w:rPr>
          <w:rFonts w:ascii="宋体" w:cs="等线" w:hAnsi="宋体"/>
          <w:bCs/>
          <w:sz w:val="24"/>
          <w:szCs w:val="24"/>
        </w:rPr>
        <w:t>1TB</w:t>
      </w:r>
      <w:r>
        <w:rPr>
          <w:rFonts w:ascii="宋体" w:cs="等线" w:hAnsi="宋体" w:hint="eastAsia"/>
          <w:bCs/>
          <w:sz w:val="24"/>
          <w:szCs w:val="24"/>
        </w:rPr>
        <w:t>存储空间，</w:t>
      </w:r>
      <w:r>
        <w:rPr>
          <w:rFonts w:ascii="宋体" w:cs="等线" w:hAnsi="宋体"/>
          <w:bCs/>
          <w:sz w:val="24"/>
          <w:szCs w:val="24"/>
        </w:rPr>
        <w:t xml:space="preserve">64-bit CentOS/RedHat 5.2 </w:t>
      </w:r>
      <w:r>
        <w:rPr>
          <w:rFonts w:ascii="宋体" w:cs="等线" w:hAnsi="宋体" w:hint="eastAsia"/>
          <w:bCs/>
          <w:sz w:val="24"/>
          <w:szCs w:val="24"/>
        </w:rPr>
        <w:t>操作系统；</w:t>
      </w:r>
    </w:p>
    <w:p>
      <w:pPr>
        <w:pStyle w:val="style0"/>
        <w:snapToGrid w:val="false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3.8. 细胞</w:t>
      </w:r>
      <w:r>
        <w:rPr>
          <w:rFonts w:ascii="宋体" w:cs="等线" w:hAnsi="宋体" w:hint="eastAsia"/>
          <w:bCs/>
          <w:sz w:val="24"/>
          <w:szCs w:val="24"/>
        </w:rPr>
        <w:t>表达谱及免疫组库文库构建及分析</w:t>
      </w:r>
    </w:p>
    <w:p>
      <w:pPr>
        <w:pStyle w:val="style0"/>
        <w:snapToGrid w:val="false"/>
        <w:spacing w:lineRule="auto" w:line="360"/>
        <w:ind w:firstLine="24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3.8.1</w:t>
      </w:r>
      <w:r>
        <w:rPr>
          <w:rFonts w:ascii="宋体" w:cs="等线" w:hAnsi="宋体" w:hint="eastAsia"/>
          <w:bCs/>
          <w:sz w:val="24"/>
          <w:szCs w:val="24"/>
        </w:rPr>
        <w:t>处理样本类型：一种</w:t>
      </w:r>
      <w:r>
        <w:rPr>
          <w:rFonts w:ascii="宋体" w:cs="等线" w:hAnsi="宋体" w:hint="eastAsia"/>
          <w:bCs/>
          <w:sz w:val="24"/>
          <w:szCs w:val="24"/>
        </w:rPr>
        <w:t>微流体芯片兼容不同大小及不同类型的真核细胞（贴壁细胞、悬</w:t>
      </w:r>
    </w:p>
    <w:p>
      <w:pPr>
        <w:pStyle w:val="style0"/>
        <w:snapToGrid w:val="false"/>
        <w:spacing w:lineRule="auto" w:line="360"/>
        <w:ind w:firstLine="24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浮细胞、组织、血液等）；</w:t>
      </w:r>
    </w:p>
    <w:p>
      <w:pPr>
        <w:pStyle w:val="style0"/>
        <w:snapToGrid w:val="false"/>
        <w:spacing w:lineRule="auto" w:line="360"/>
        <w:ind w:firstLine="240"/>
        <w:rPr>
          <w:rFonts w:ascii="宋体" w:cs="等线" w:hAnsi="宋体"/>
          <w:bCs/>
          <w:sz w:val="24"/>
          <w:szCs w:val="24"/>
        </w:rPr>
      </w:pPr>
      <w:r>
        <w:rPr>
          <w:rFonts w:hint="eastAsia"/>
          <w:sz w:val="24"/>
        </w:rPr>
        <w:t>#</w:t>
      </w:r>
      <w:r>
        <w:rPr>
          <w:rFonts w:ascii="宋体" w:cs="等线" w:hAnsi="宋体" w:hint="eastAsia"/>
          <w:bCs/>
          <w:sz w:val="24"/>
          <w:szCs w:val="24"/>
        </w:rPr>
        <w:t>3</w:t>
      </w:r>
      <w:r>
        <w:rPr>
          <w:rFonts w:ascii="宋体" w:cs="等线" w:hAnsi="宋体"/>
          <w:bCs/>
          <w:sz w:val="24"/>
          <w:szCs w:val="24"/>
        </w:rPr>
        <w:t xml:space="preserve">.8.2 </w:t>
      </w:r>
      <w:r>
        <w:rPr>
          <w:rFonts w:ascii="宋体" w:cs="等线" w:hAnsi="宋体" w:hint="eastAsia"/>
          <w:bCs/>
          <w:sz w:val="24"/>
          <w:szCs w:val="24"/>
        </w:rPr>
        <w:t>处理细胞的最大直径可达到</w:t>
      </w:r>
      <w:r>
        <w:rPr>
          <w:rFonts w:ascii="宋体" w:cs="宋体" w:hAnsi="宋体" w:hint="eastAsia"/>
          <w:sz w:val="24"/>
          <w:szCs w:val="22"/>
        </w:rPr>
        <w:t>40uM</w:t>
      </w:r>
      <w:r>
        <w:rPr>
          <w:rFonts w:ascii="宋体" w:cs="宋体" w:hAnsi="宋体" w:hint="eastAsia"/>
          <w:sz w:val="24"/>
          <w:szCs w:val="22"/>
        </w:rPr>
        <w:t>；</w:t>
      </w:r>
    </w:p>
    <w:p>
      <w:pPr>
        <w:pStyle w:val="style0"/>
        <w:snapToGrid w:val="false"/>
        <w:spacing w:lineRule="auto" w:line="360"/>
        <w:ind w:firstLine="240" w:firstLine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3.8.3</w:t>
      </w:r>
      <w:r>
        <w:rPr>
          <w:rFonts w:ascii="宋体" w:cs="等线" w:hAnsi="宋体" w:hint="eastAsia"/>
          <w:bCs/>
          <w:sz w:val="24"/>
          <w:szCs w:val="24"/>
        </w:rPr>
        <w:t>操作时间：</w:t>
      </w:r>
      <w:r>
        <w:rPr>
          <w:rFonts w:ascii="宋体" w:cs="等线" w:hAnsi="宋体" w:hint="eastAsia"/>
          <w:bCs/>
          <w:sz w:val="24"/>
          <w:szCs w:val="24"/>
        </w:rPr>
        <w:t>10</w:t>
      </w:r>
      <w:r>
        <w:rPr>
          <w:rFonts w:ascii="宋体" w:cs="等线" w:hAnsi="宋体" w:hint="eastAsia"/>
          <w:bCs/>
          <w:sz w:val="24"/>
          <w:szCs w:val="24"/>
        </w:rPr>
        <w:t>分钟内快速裂解细胞对基因表达影响最小，精确地获得转录组数据；</w:t>
      </w:r>
    </w:p>
    <w:p>
      <w:pPr>
        <w:pStyle w:val="style0"/>
        <w:snapToGrid w:val="false"/>
        <w:spacing w:lineRule="auto" w:line="360"/>
        <w:ind w:firstLine="240" w:firstLine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3.8.4</w:t>
      </w:r>
      <w:r>
        <w:rPr>
          <w:rFonts w:ascii="宋体" w:cs="等线" w:hAnsi="宋体" w:hint="eastAsia"/>
          <w:bCs/>
          <w:sz w:val="24"/>
          <w:szCs w:val="24"/>
        </w:rPr>
        <w:t>处理细胞通量：每次运行最多可产生</w:t>
      </w:r>
      <w:r>
        <w:rPr>
          <w:rFonts w:ascii="宋体" w:cs="等线" w:hAnsi="宋体" w:hint="eastAsia"/>
          <w:bCs/>
          <w:sz w:val="24"/>
          <w:szCs w:val="24"/>
        </w:rPr>
        <w:t>80,000</w:t>
      </w:r>
      <w:r>
        <w:rPr>
          <w:rFonts w:ascii="宋体" w:cs="等线" w:hAnsi="宋体" w:hint="eastAsia"/>
          <w:bCs/>
          <w:sz w:val="24"/>
          <w:szCs w:val="24"/>
        </w:rPr>
        <w:t>个细胞</w:t>
      </w:r>
      <w:r>
        <w:rPr>
          <w:rFonts w:ascii="宋体" w:cs="等线" w:hAnsi="宋体" w:hint="eastAsia"/>
          <w:bCs/>
          <w:sz w:val="24"/>
          <w:szCs w:val="24"/>
        </w:rPr>
        <w:t>的转录本；</w:t>
      </w:r>
    </w:p>
    <w:p>
      <w:pPr>
        <w:pStyle w:val="style0"/>
        <w:snapToGrid w:val="false"/>
        <w:spacing w:lineRule="auto" w:line="360"/>
        <w:ind w:firstLine="210"/>
        <w:rPr>
          <w:rFonts w:ascii="宋体" w:cs="等线" w:hAnsi="宋体"/>
          <w:bCs/>
          <w:sz w:val="24"/>
          <w:szCs w:val="24"/>
        </w:rPr>
      </w:pPr>
      <w:r>
        <w:rPr>
          <w:rFonts w:hint="eastAsia"/>
          <w:sz w:val="24"/>
        </w:rPr>
        <w:t>#</w:t>
      </w:r>
      <w:r>
        <w:rPr>
          <w:rFonts w:ascii="宋体" w:cs="等线" w:hAnsi="宋体" w:hint="eastAsia"/>
          <w:bCs/>
          <w:sz w:val="24"/>
          <w:szCs w:val="24"/>
        </w:rPr>
        <w:t>3.8.5</w:t>
      </w:r>
      <w:r>
        <w:rPr>
          <w:rFonts w:ascii="宋体" w:cs="等线" w:hAnsi="宋体" w:hint="eastAsia"/>
          <w:bCs/>
          <w:sz w:val="24"/>
          <w:szCs w:val="24"/>
        </w:rPr>
        <w:t>细胞捕获效率：在群体中捕获大于</w:t>
      </w:r>
      <w:r>
        <w:rPr>
          <w:rFonts w:ascii="宋体" w:cs="等线" w:hAnsi="宋体" w:hint="eastAsia"/>
          <w:bCs/>
          <w:sz w:val="24"/>
          <w:szCs w:val="24"/>
        </w:rPr>
        <w:t>50%</w:t>
      </w:r>
      <w:r>
        <w:rPr>
          <w:rFonts w:ascii="宋体" w:cs="等线" w:hAnsi="宋体" w:hint="eastAsia"/>
          <w:bCs/>
          <w:sz w:val="24"/>
          <w:szCs w:val="24"/>
        </w:rPr>
        <w:t>的细胞，每</w:t>
      </w:r>
      <w:r>
        <w:rPr>
          <w:rFonts w:ascii="宋体" w:cs="等线" w:hAnsi="宋体" w:hint="eastAsia"/>
          <w:bCs/>
          <w:sz w:val="24"/>
          <w:szCs w:val="24"/>
        </w:rPr>
        <w:t>1000</w:t>
      </w:r>
      <w:r>
        <w:rPr>
          <w:rFonts w:ascii="宋体" w:cs="等线" w:hAnsi="宋体" w:hint="eastAsia"/>
          <w:bCs/>
          <w:sz w:val="24"/>
          <w:szCs w:val="24"/>
        </w:rPr>
        <w:t>个细胞中含有双细胞的比例</w:t>
      </w:r>
    </w:p>
    <w:p>
      <w:pPr>
        <w:pStyle w:val="style0"/>
        <w:snapToGrid w:val="false"/>
        <w:spacing w:lineRule="auto" w:line="360"/>
        <w:ind w:firstLine="21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低于</w:t>
      </w:r>
      <w:r>
        <w:rPr>
          <w:rFonts w:ascii="宋体" w:cs="等线" w:hAnsi="宋体" w:hint="eastAsia"/>
          <w:bCs/>
          <w:sz w:val="24"/>
          <w:szCs w:val="24"/>
        </w:rPr>
        <w:t>0.9%</w:t>
      </w:r>
      <w:r>
        <w:rPr>
          <w:rFonts w:ascii="宋体" w:cs="等线" w:hAnsi="宋体" w:hint="eastAsia"/>
          <w:bCs/>
          <w:sz w:val="24"/>
          <w:szCs w:val="24"/>
        </w:rPr>
        <w:t>；</w:t>
      </w:r>
    </w:p>
    <w:p>
      <w:pPr>
        <w:pStyle w:val="style0"/>
        <w:snapToGrid w:val="false"/>
        <w:spacing w:lineRule="auto" w:line="360"/>
        <w:ind w:firstLine="21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3.8.6</w:t>
      </w:r>
      <w:r>
        <w:rPr>
          <w:rFonts w:ascii="宋体" w:cs="等线" w:hAnsi="宋体" w:hint="eastAsia"/>
          <w:bCs/>
          <w:sz w:val="24"/>
          <w:szCs w:val="24"/>
        </w:rPr>
        <w:t>分析软件及功能：提供操作简便、单机版一站式分析及可视化软件，以高通量数字化</w:t>
      </w:r>
    </w:p>
    <w:p>
      <w:pPr>
        <w:pStyle w:val="style0"/>
        <w:snapToGrid w:val="false"/>
        <w:spacing w:lineRule="auto" w:line="360"/>
        <w:ind w:firstLine="21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形式深度解析</w:t>
      </w:r>
      <w:r>
        <w:rPr>
          <w:rFonts w:ascii="宋体" w:cs="等线" w:hAnsi="宋体"/>
          <w:bCs/>
          <w:sz w:val="24"/>
          <w:szCs w:val="24"/>
        </w:rPr>
        <w:t>细胞</w:t>
      </w:r>
      <w:r>
        <w:rPr>
          <w:rFonts w:ascii="宋体" w:cs="等线" w:hAnsi="宋体" w:hint="eastAsia"/>
          <w:bCs/>
          <w:sz w:val="24"/>
          <w:szCs w:val="24"/>
        </w:rPr>
        <w:t>群体</w:t>
      </w:r>
      <w:r>
        <w:rPr>
          <w:rFonts w:ascii="宋体" w:cs="等线" w:hAnsi="宋体"/>
          <w:bCs/>
          <w:sz w:val="24"/>
          <w:szCs w:val="24"/>
        </w:rPr>
        <w:t>中所</w:t>
      </w:r>
      <w:r>
        <w:rPr>
          <w:rFonts w:ascii="宋体" w:cs="等线" w:hAnsi="宋体" w:hint="eastAsia"/>
          <w:bCs/>
          <w:sz w:val="24"/>
          <w:szCs w:val="24"/>
        </w:rPr>
        <w:t>包含每个细胞的</w:t>
      </w:r>
      <w:r>
        <w:rPr>
          <w:rFonts w:ascii="宋体" w:cs="等线" w:hAnsi="宋体"/>
          <w:bCs/>
          <w:sz w:val="24"/>
          <w:szCs w:val="24"/>
        </w:rPr>
        <w:t>表达基因及其丰度</w:t>
      </w:r>
      <w:r>
        <w:rPr>
          <w:rFonts w:ascii="宋体" w:cs="等线" w:hAnsi="宋体" w:hint="eastAsia"/>
          <w:bCs/>
          <w:sz w:val="24"/>
          <w:szCs w:val="24"/>
        </w:rPr>
        <w:t>；</w:t>
      </w:r>
    </w:p>
    <w:p>
      <w:pPr>
        <w:pStyle w:val="style0"/>
        <w:snapToGrid w:val="false"/>
        <w:spacing w:lineRule="auto" w:line="360"/>
        <w:rPr>
          <w:rFonts w:ascii="宋体" w:hAnsi="宋体"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3.9.细胞</w:t>
      </w:r>
      <w:r>
        <w:rPr>
          <w:rFonts w:ascii="宋体" w:hAnsi="宋体" w:hint="eastAsia"/>
          <w:sz w:val="24"/>
          <w:szCs w:val="24"/>
        </w:rPr>
        <w:t>基因组染色质开放区域（</w:t>
      </w:r>
      <w:r>
        <w:rPr>
          <w:rFonts w:ascii="宋体" w:hAnsi="宋体" w:hint="eastAsia"/>
          <w:sz w:val="24"/>
          <w:szCs w:val="24"/>
        </w:rPr>
        <w:t>ATAC-Seq</w:t>
      </w:r>
      <w:r>
        <w:rPr>
          <w:rFonts w:ascii="宋体" w:hAnsi="宋体" w:hint="eastAsia"/>
          <w:sz w:val="24"/>
          <w:szCs w:val="24"/>
        </w:rPr>
        <w:t>）文库构建及分析</w:t>
      </w:r>
    </w:p>
    <w:p>
      <w:pPr>
        <w:pStyle w:val="style0"/>
        <w:snapToGrid w:val="false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/>
          <w:bCs/>
          <w:sz w:val="24"/>
          <w:szCs w:val="24"/>
        </w:rPr>
        <w:t xml:space="preserve">  </w:t>
      </w:r>
      <w:r>
        <w:rPr>
          <w:rFonts w:hint="eastAsia"/>
          <w:sz w:val="24"/>
        </w:rPr>
        <w:t>#</w:t>
      </w:r>
      <w:r>
        <w:rPr>
          <w:rFonts w:ascii="宋体" w:cs="等线" w:hAnsi="宋体" w:hint="eastAsia"/>
          <w:bCs/>
          <w:sz w:val="24"/>
          <w:szCs w:val="24"/>
        </w:rPr>
        <w:t>3.9.1</w:t>
      </w:r>
      <w:r>
        <w:rPr>
          <w:rFonts w:ascii="宋体" w:cs="等线" w:hAnsi="宋体"/>
          <w:bCs/>
          <w:sz w:val="24"/>
          <w:szCs w:val="24"/>
        </w:rPr>
        <w:t xml:space="preserve"> </w:t>
      </w:r>
      <w:r>
        <w:rPr>
          <w:rFonts w:ascii="宋体" w:cs="等线" w:hAnsi="宋体" w:hint="eastAsia"/>
          <w:bCs/>
          <w:sz w:val="24"/>
          <w:szCs w:val="24"/>
        </w:rPr>
        <w:t>样本处理通量：每个微流控通道可处理</w:t>
      </w:r>
      <w:r>
        <w:rPr>
          <w:rFonts w:ascii="宋体" w:cs="等线" w:hAnsi="宋体" w:hint="eastAsia"/>
          <w:bCs/>
          <w:sz w:val="24"/>
          <w:szCs w:val="24"/>
        </w:rPr>
        <w:t>500-10000</w:t>
      </w:r>
      <w:r>
        <w:rPr>
          <w:rFonts w:ascii="宋体" w:cs="等线" w:hAnsi="宋体" w:hint="eastAsia"/>
          <w:bCs/>
          <w:sz w:val="24"/>
          <w:szCs w:val="24"/>
        </w:rPr>
        <w:t>个细胞核；</w:t>
      </w:r>
    </w:p>
    <w:p>
      <w:pPr>
        <w:pStyle w:val="style0"/>
        <w:snapToGrid w:val="false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/>
          <w:bCs/>
          <w:sz w:val="24"/>
          <w:szCs w:val="24"/>
        </w:rPr>
        <w:t xml:space="preserve">  </w:t>
      </w:r>
      <w:r>
        <w:rPr>
          <w:rFonts w:ascii="宋体" w:cs="等线" w:hAnsi="宋体" w:hint="eastAsia"/>
          <w:bCs/>
          <w:sz w:val="24"/>
          <w:szCs w:val="24"/>
        </w:rPr>
        <w:t>3.9.2</w:t>
      </w:r>
      <w:r>
        <w:rPr>
          <w:rFonts w:ascii="宋体" w:cs="等线" w:hAnsi="宋体"/>
          <w:bCs/>
          <w:sz w:val="24"/>
          <w:szCs w:val="24"/>
        </w:rPr>
        <w:t xml:space="preserve"> </w:t>
      </w:r>
      <w:r>
        <w:rPr>
          <w:rFonts w:ascii="宋体" w:cs="等线" w:hAnsi="宋体" w:hint="eastAsia"/>
          <w:bCs/>
          <w:sz w:val="24"/>
          <w:szCs w:val="24"/>
        </w:rPr>
        <w:t>线粒体污染率：以</w:t>
      </w:r>
      <w:r>
        <w:rPr>
          <w:rFonts w:ascii="宋体" w:cs="等线" w:hAnsi="宋体" w:hint="eastAsia"/>
          <w:bCs/>
          <w:sz w:val="24"/>
          <w:szCs w:val="24"/>
        </w:rPr>
        <w:t>GM12878</w:t>
      </w:r>
      <w:r>
        <w:rPr>
          <w:rFonts w:ascii="宋体" w:cs="等线" w:hAnsi="宋体" w:hint="eastAsia"/>
          <w:bCs/>
          <w:sz w:val="24"/>
          <w:szCs w:val="24"/>
        </w:rPr>
        <w:t>细胞系为例，线粒体污染低于</w:t>
      </w:r>
      <w:r>
        <w:rPr>
          <w:rFonts w:ascii="宋体" w:cs="等线" w:hAnsi="宋体" w:hint="eastAsia"/>
          <w:bCs/>
          <w:sz w:val="24"/>
          <w:szCs w:val="24"/>
        </w:rPr>
        <w:t>2%</w:t>
      </w:r>
      <w:r>
        <w:rPr>
          <w:rFonts w:ascii="宋体" w:cs="等线" w:hAnsi="宋体" w:hint="eastAsia"/>
          <w:bCs/>
          <w:sz w:val="24"/>
          <w:szCs w:val="24"/>
        </w:rPr>
        <w:t>；</w:t>
      </w:r>
    </w:p>
    <w:p>
      <w:pPr>
        <w:pStyle w:val="style0"/>
        <w:snapToGrid w:val="false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/>
          <w:bCs/>
          <w:sz w:val="24"/>
          <w:szCs w:val="24"/>
        </w:rPr>
        <w:t xml:space="preserve">  </w:t>
      </w:r>
      <w:r>
        <w:rPr>
          <w:rFonts w:ascii="宋体" w:cs="等线" w:hAnsi="宋体" w:hint="eastAsia"/>
          <w:bCs/>
          <w:sz w:val="24"/>
          <w:szCs w:val="24"/>
        </w:rPr>
        <w:t>3.9.3</w:t>
      </w:r>
      <w:r>
        <w:rPr>
          <w:rFonts w:ascii="宋体" w:cs="等线" w:hAnsi="宋体"/>
          <w:bCs/>
          <w:sz w:val="24"/>
          <w:szCs w:val="24"/>
        </w:rPr>
        <w:t xml:space="preserve"> </w:t>
      </w:r>
      <w:r>
        <w:rPr>
          <w:rFonts w:ascii="宋体" w:cs="等线" w:hAnsi="宋体" w:hint="eastAsia"/>
          <w:bCs/>
          <w:sz w:val="24"/>
          <w:szCs w:val="24"/>
        </w:rPr>
        <w:t>实验操作流程：细胞</w:t>
      </w:r>
      <w:r>
        <w:rPr>
          <w:rFonts w:ascii="宋体" w:cs="等线" w:hAnsi="宋体" w:hint="eastAsia"/>
          <w:bCs/>
          <w:sz w:val="24"/>
          <w:szCs w:val="24"/>
        </w:rPr>
        <w:t>核悬液中进行</w:t>
      </w:r>
      <w:r>
        <w:rPr>
          <w:rFonts w:ascii="宋体" w:cs="等线" w:hAnsi="宋体" w:hint="eastAsia"/>
          <w:bCs/>
          <w:sz w:val="24"/>
          <w:szCs w:val="24"/>
        </w:rPr>
        <w:t>ATAC</w:t>
      </w:r>
      <w:r>
        <w:rPr>
          <w:rFonts w:ascii="宋体" w:cs="等线" w:hAnsi="宋体" w:hint="eastAsia"/>
          <w:bCs/>
          <w:sz w:val="24"/>
          <w:szCs w:val="24"/>
        </w:rPr>
        <w:t>酶处理，处理后的细胞核及带细胞标签的</w:t>
      </w:r>
    </w:p>
    <w:p>
      <w:pPr>
        <w:pStyle w:val="style0"/>
        <w:snapToGrid w:val="false"/>
        <w:spacing w:lineRule="auto" w:line="360"/>
        <w:ind w:firstLine="24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凝胶微珠被制备成油包水微滴，油包水制备的整</w:t>
      </w:r>
      <w:r>
        <w:rPr>
          <w:rFonts w:ascii="宋体" w:cs="等线" w:hAnsi="宋体" w:hint="eastAsia"/>
          <w:bCs/>
          <w:sz w:val="24"/>
          <w:szCs w:val="24"/>
        </w:rPr>
        <w:t>个流程在</w:t>
      </w:r>
      <w:r>
        <w:rPr>
          <w:rFonts w:ascii="宋体" w:cs="等线" w:hAnsi="宋体" w:hint="eastAsia"/>
          <w:bCs/>
          <w:sz w:val="24"/>
          <w:szCs w:val="24"/>
        </w:rPr>
        <w:t>7</w:t>
      </w:r>
      <w:r>
        <w:rPr>
          <w:rFonts w:ascii="宋体" w:cs="等线" w:hAnsi="宋体" w:hint="eastAsia"/>
          <w:bCs/>
          <w:sz w:val="24"/>
          <w:szCs w:val="24"/>
        </w:rPr>
        <w:t>分钟内完成；</w:t>
      </w:r>
    </w:p>
    <w:p>
      <w:pPr>
        <w:pStyle w:val="style0"/>
        <w:snapToGrid w:val="false"/>
        <w:spacing w:lineRule="auto" w:line="360"/>
        <w:ind w:firstLine="240" w:firstLineChars="10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3.9.4</w:t>
      </w:r>
      <w:r>
        <w:rPr>
          <w:rFonts w:ascii="宋体" w:cs="等线" w:hAnsi="宋体" w:hint="eastAsia"/>
          <w:bCs/>
          <w:sz w:val="24"/>
          <w:szCs w:val="24"/>
        </w:rPr>
        <w:t>分析功能：获得细胞</w:t>
      </w:r>
      <w:r>
        <w:rPr>
          <w:rFonts w:ascii="宋体" w:cs="等线" w:hAnsi="宋体" w:hint="eastAsia"/>
          <w:bCs/>
          <w:sz w:val="24"/>
          <w:szCs w:val="24"/>
        </w:rPr>
        <w:t>水平表观遗传学信息。</w:t>
      </w:r>
    </w:p>
    <w:p>
      <w:pPr>
        <w:pStyle w:val="style0"/>
        <w:snapToGrid w:val="false"/>
        <w:spacing w:lineRule="auto" w:line="360"/>
        <w:rPr>
          <w:rFonts w:ascii="宋体" w:cs="等线" w:hAnsi="宋体"/>
          <w:bCs/>
          <w:sz w:val="24"/>
          <w:szCs w:val="24"/>
        </w:rPr>
      </w:pPr>
      <w:r>
        <w:rPr>
          <w:rFonts w:ascii="宋体" w:cs="等线" w:hAnsi="宋体" w:hint="eastAsia"/>
          <w:bCs/>
          <w:sz w:val="24"/>
          <w:szCs w:val="24"/>
        </w:rPr>
        <w:t>#3.10</w:t>
      </w:r>
      <w:r>
        <w:rPr>
          <w:rFonts w:ascii="宋体" w:cs="等线" w:hAnsi="宋体"/>
          <w:bCs/>
          <w:sz w:val="24"/>
          <w:szCs w:val="24"/>
        </w:rPr>
        <w:t xml:space="preserve"> </w:t>
      </w:r>
      <w:r>
        <w:rPr>
          <w:rFonts w:ascii="宋体" w:cs="等线" w:hAnsi="宋体" w:hint="eastAsia"/>
          <w:bCs/>
          <w:sz w:val="24"/>
          <w:szCs w:val="24"/>
        </w:rPr>
        <w:t>应用该仪器发表的文献多于</w:t>
      </w:r>
      <w:r>
        <w:rPr>
          <w:rFonts w:ascii="宋体" w:cs="等线" w:hAnsi="宋体" w:hint="eastAsia"/>
          <w:bCs/>
          <w:sz w:val="24"/>
          <w:szCs w:val="24"/>
        </w:rPr>
        <w:t>500</w:t>
      </w:r>
      <w:r>
        <w:rPr>
          <w:rFonts w:ascii="宋体" w:cs="等线" w:hAnsi="宋体" w:hint="eastAsia"/>
          <w:bCs/>
          <w:sz w:val="24"/>
          <w:szCs w:val="24"/>
        </w:rPr>
        <w:t>篇。</w:t>
      </w:r>
    </w:p>
    <w:p>
      <w:pPr>
        <w:pStyle w:val="style0"/>
        <w:spacing w:lineRule="auto" w:line="36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4. </w:t>
      </w:r>
      <w:r>
        <w:rPr>
          <w:rFonts w:ascii="宋体" w:hAnsi="宋体" w:hint="eastAsia"/>
          <w:b/>
          <w:sz w:val="24"/>
        </w:rPr>
        <w:t>配置要求</w:t>
      </w:r>
    </w:p>
    <w:p>
      <w:pPr>
        <w:pStyle w:val="style0"/>
        <w:spacing w:lineRule="auto" w:line="360"/>
        <w:ind w:firstLine="210"/>
        <w:rPr>
          <w:sz w:val="24"/>
        </w:rPr>
      </w:pPr>
      <w:r>
        <w:rPr>
          <w:rFonts w:hint="eastAsia"/>
          <w:sz w:val="24"/>
        </w:rPr>
        <w:t>整套设备应包括：</w:t>
      </w:r>
    </w:p>
    <w:p>
      <w:pPr>
        <w:pStyle w:val="style0"/>
        <w:numPr>
          <w:ilvl w:val="0"/>
          <w:numId w:val="2"/>
        </w:numPr>
        <w:spacing w:lineRule="auto" w:line="360"/>
        <w:ind w:left="570" w:leftChars="100"/>
        <w:rPr>
          <w:rStyle w:val="style4098"/>
          <w:rFonts w:ascii="Times New Roman" w:cs="Times New Roman" w:hAnsi="Times New Roman"/>
          <w:color w:val="auto"/>
          <w:sz w:val="24"/>
          <w:szCs w:val="21"/>
        </w:rPr>
      </w:pPr>
      <w:r>
        <w:rPr>
          <w:rStyle w:val="style4098"/>
          <w:rFonts w:ascii="Calibri" w:cs="Verdana" w:hAnsi="Verdana" w:hint="eastAsia"/>
          <w:sz w:val="24"/>
          <w:szCs w:val="24"/>
        </w:rPr>
        <w:t>仪器主机</w:t>
      </w:r>
    </w:p>
    <w:p>
      <w:pPr>
        <w:pStyle w:val="style0"/>
        <w:numPr>
          <w:ilvl w:val="0"/>
          <w:numId w:val="2"/>
        </w:numPr>
        <w:spacing w:lineRule="auto" w:line="360"/>
        <w:ind w:left="570" w:leftChars="100"/>
        <w:rPr>
          <w:sz w:val="24"/>
        </w:rPr>
      </w:pPr>
      <w:r>
        <w:rPr>
          <w:rStyle w:val="style4098"/>
          <w:rFonts w:ascii="Calibri" w:cs="Verdana" w:hAnsi="Verdana" w:hint="eastAsia"/>
          <w:sz w:val="24"/>
          <w:szCs w:val="24"/>
        </w:rPr>
        <w:t>附件包（包含：振荡仪适配器，芯片支架，磁力分离器，测试芯片等）</w:t>
      </w:r>
    </w:p>
    <w:p>
      <w:pPr>
        <w:pStyle w:val="style0"/>
        <w:numPr>
          <w:ilvl w:val="0"/>
          <w:numId w:val="2"/>
        </w:numPr>
        <w:spacing w:lineRule="auto" w:line="360"/>
        <w:ind w:left="570" w:leftChars="100"/>
        <w:rPr>
          <w:sz w:val="24"/>
        </w:rPr>
      </w:pPr>
      <w:r>
        <w:rPr>
          <w:rFonts w:hint="eastAsia"/>
          <w:sz w:val="24"/>
        </w:rPr>
        <w:t>分析软件</w:t>
      </w:r>
      <w:r>
        <w:rPr>
          <w:sz w:val="24"/>
        </w:rPr>
        <w:t xml:space="preserve"> </w:t>
      </w:r>
    </w:p>
    <w:p>
      <w:pPr>
        <w:pStyle w:val="style0"/>
        <w:numPr>
          <w:ilvl w:val="0"/>
          <w:numId w:val="3"/>
        </w:numPr>
        <w:spacing w:lineRule="auto" w:line="36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技术服务</w:t>
      </w:r>
    </w:p>
    <w:p>
      <w:pPr>
        <w:pStyle w:val="style0"/>
        <w:spacing w:lineRule="auto" w:line="360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5.1</w:t>
      </w:r>
      <w:r>
        <w:rPr>
          <w:rFonts w:ascii="宋体" w:hAnsi="宋体" w:hint="eastAsia"/>
          <w:b/>
          <w:sz w:val="24"/>
        </w:rPr>
        <w:t>设备安装、调试和验收</w:t>
      </w:r>
    </w:p>
    <w:p>
      <w:pPr>
        <w:pStyle w:val="style0"/>
        <w:spacing w:lineRule="auto" w:line="360"/>
        <w:ind w:firstLine="480" w:firstLineChars="200"/>
        <w:rPr>
          <w:sz w:val="24"/>
        </w:rPr>
      </w:pPr>
      <w:r>
        <w:rPr>
          <w:sz w:val="24"/>
        </w:rPr>
        <w:t>5.1.1</w:t>
      </w:r>
      <w:r>
        <w:rPr>
          <w:rFonts w:hint="eastAsia"/>
          <w:sz w:val="24"/>
        </w:rPr>
        <w:t>供方应在合同生效后</w:t>
      </w:r>
      <w:r>
        <w:rPr>
          <w:sz w:val="24"/>
        </w:rPr>
        <w:t>30</w:t>
      </w:r>
      <w:r>
        <w:rPr>
          <w:rFonts w:hint="eastAsia"/>
          <w:sz w:val="24"/>
        </w:rPr>
        <w:t>天内向用户提供详细的安装准备条件及安装计划。设备安装、调试的费用由供方承担。</w:t>
      </w:r>
    </w:p>
    <w:p>
      <w:pPr>
        <w:pStyle w:val="style0"/>
        <w:spacing w:lineRule="auto" w:line="360"/>
        <w:ind w:firstLine="480" w:firstLineChars="200"/>
        <w:rPr>
          <w:sz w:val="24"/>
        </w:rPr>
      </w:pPr>
      <w:r>
        <w:rPr>
          <w:sz w:val="24"/>
        </w:rPr>
        <w:t>5.1.2</w:t>
      </w:r>
      <w:r>
        <w:rPr>
          <w:rFonts w:hint="eastAsia"/>
          <w:sz w:val="24"/>
        </w:rPr>
        <w:t>仪器到达用户所在地后，在接到用户通知后</w:t>
      </w:r>
      <w:r>
        <w:rPr>
          <w:sz w:val="24"/>
        </w:rPr>
        <w:t>15</w:t>
      </w:r>
      <w:r>
        <w:rPr>
          <w:rFonts w:hint="eastAsia"/>
          <w:sz w:val="24"/>
        </w:rPr>
        <w:t>天内安排技术人员执行仪器安装和调试，对仪器分析指标验收完成。</w:t>
      </w:r>
    </w:p>
    <w:p>
      <w:pPr>
        <w:pStyle w:val="style0"/>
        <w:spacing w:lineRule="auto" w:line="360"/>
        <w:ind w:firstLine="480" w:firstLineChars="200"/>
        <w:rPr>
          <w:sz w:val="24"/>
        </w:rPr>
      </w:pPr>
      <w:r>
        <w:rPr>
          <w:sz w:val="24"/>
        </w:rPr>
        <w:t>5.1.3</w:t>
      </w:r>
      <w:r>
        <w:rPr>
          <w:rFonts w:hint="eastAsia"/>
          <w:sz w:val="24"/>
        </w:rPr>
        <w:t>供方安装人员对现场安装安全负有责任。与需方共同开箱检验，检查仪器设备及随机附件是否全新、完整无损；技术资料与图纸是否与需方的要求相符。如发生破损、缺件等问题，供方应及时地提出解决方案，并尽快地给以解决。</w:t>
      </w:r>
    </w:p>
    <w:p>
      <w:pPr>
        <w:pStyle w:val="style0"/>
        <w:spacing w:lineRule="auto" w:line="360"/>
        <w:ind w:firstLine="480" w:firstLineChars="200"/>
        <w:rPr>
          <w:sz w:val="24"/>
        </w:rPr>
      </w:pPr>
      <w:r>
        <w:rPr>
          <w:sz w:val="24"/>
        </w:rPr>
        <w:t>5.1.4</w:t>
      </w:r>
      <w:r>
        <w:rPr>
          <w:rFonts w:hint="eastAsia"/>
          <w:sz w:val="24"/>
        </w:rPr>
        <w:t>验收标准以供需双方签订的技术协议为准（参考招标文件指标）。任何虚假指标响应</w:t>
      </w:r>
      <w:r>
        <w:rPr>
          <w:rFonts w:hint="eastAsia"/>
          <w:sz w:val="24"/>
        </w:rPr>
        <w:t>一经发现即作废标，投标者必须承担由此给用户带来的一切经济损失和其它相关责任。</w:t>
      </w:r>
    </w:p>
    <w:p>
      <w:pPr>
        <w:pStyle w:val="style0"/>
        <w:spacing w:lineRule="auto" w:line="360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5.2</w:t>
      </w:r>
      <w:r>
        <w:rPr>
          <w:rFonts w:ascii="宋体" w:hAnsi="宋体" w:hint="eastAsia"/>
          <w:b/>
          <w:sz w:val="24"/>
        </w:rPr>
        <w:t>技术培训</w:t>
      </w:r>
    </w:p>
    <w:p>
      <w:pPr>
        <w:pStyle w:val="style0"/>
        <w:spacing w:lineRule="auto" w:line="360"/>
        <w:ind w:firstLine="480" w:firstLineChars="200"/>
        <w:rPr>
          <w:sz w:val="24"/>
        </w:rPr>
      </w:pPr>
      <w:r>
        <w:rPr>
          <w:rFonts w:hint="eastAsia"/>
          <w:sz w:val="24"/>
        </w:rPr>
        <w:t>仪器安装验收后，供方应及时派遣有丰富经验的技术人员就仪器软</w:t>
      </w:r>
      <w:bookmarkStart w:id="0" w:name="_GoBack"/>
      <w:bookmarkEnd w:id="0"/>
      <w:r>
        <w:rPr>
          <w:rFonts w:hint="eastAsia"/>
          <w:sz w:val="24"/>
        </w:rPr>
        <w:t>硬件操作、仪器维护、故障排除、注意事项等进行免费培训，在用户现场</w:t>
      </w:r>
      <w:r>
        <w:rPr>
          <w:sz w:val="24"/>
        </w:rPr>
        <w:t>,</w:t>
      </w:r>
      <w:r>
        <w:rPr>
          <w:rFonts w:hint="eastAsia"/>
          <w:sz w:val="24"/>
        </w:rPr>
        <w:t>工程师将对用户进行仪器的使用操作</w:t>
      </w:r>
      <w:r>
        <w:rPr>
          <w:sz w:val="24"/>
        </w:rPr>
        <w:t>,</w:t>
      </w:r>
      <w:r>
        <w:rPr>
          <w:rFonts w:hint="eastAsia"/>
          <w:sz w:val="24"/>
        </w:rPr>
        <w:t>日常的维护保养及简单的故障维修方面的培训，并使用户能够独立使用和获取正确的数据。供方还应该定期举办专门的培训班和用户会议</w:t>
      </w:r>
      <w:r>
        <w:rPr>
          <w:sz w:val="24"/>
        </w:rPr>
        <w:t>,</w:t>
      </w:r>
      <w:r>
        <w:rPr>
          <w:rFonts w:hint="eastAsia"/>
          <w:sz w:val="24"/>
        </w:rPr>
        <w:t>以加强用户间的技术交流</w:t>
      </w:r>
      <w:r>
        <w:rPr>
          <w:sz w:val="24"/>
        </w:rPr>
        <w:t>,</w:t>
      </w:r>
      <w:r>
        <w:rPr>
          <w:rFonts w:hint="eastAsia"/>
          <w:sz w:val="24"/>
        </w:rPr>
        <w:t>提高用户的仪器使用水平。</w:t>
      </w:r>
    </w:p>
    <w:p>
      <w:pPr>
        <w:pStyle w:val="style0"/>
        <w:spacing w:lineRule="auto" w:line="360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5.3</w:t>
      </w:r>
      <w:r>
        <w:rPr>
          <w:rFonts w:ascii="宋体" w:hAnsi="宋体" w:hint="eastAsia"/>
          <w:b/>
          <w:sz w:val="24"/>
        </w:rPr>
        <w:t>保修期</w:t>
      </w:r>
    </w:p>
    <w:p>
      <w:pPr>
        <w:pStyle w:val="style0"/>
        <w:spacing w:lineRule="auto" w:line="360"/>
        <w:ind w:firstLine="480" w:firstLineChars="200"/>
        <w:rPr>
          <w:sz w:val="24"/>
        </w:rPr>
      </w:pPr>
      <w:r>
        <w:rPr>
          <w:rFonts w:hint="eastAsia"/>
          <w:sz w:val="24"/>
        </w:rPr>
        <w:t>保修期：保修期一年</w:t>
      </w:r>
      <w:r>
        <w:rPr>
          <w:sz w:val="24"/>
        </w:rPr>
        <w:t xml:space="preserve">, </w:t>
      </w:r>
      <w:r>
        <w:rPr>
          <w:rFonts w:hint="eastAsia"/>
          <w:sz w:val="24"/>
        </w:rPr>
        <w:t>从仪器验收合格</w:t>
      </w:r>
      <w:r>
        <w:rPr>
          <w:sz w:val="24"/>
        </w:rPr>
        <w:t xml:space="preserve">, </w:t>
      </w:r>
      <w:r>
        <w:rPr>
          <w:rFonts w:hint="eastAsia"/>
          <w:sz w:val="24"/>
        </w:rPr>
        <w:t>双方签字之日起保修期开始生效。在保修期内，任何由制造商选材和制造不当引起的质量问题，厂家负责免费维修。出现故障后，在收到用户正式通知后</w:t>
      </w:r>
      <w:r>
        <w:rPr>
          <w:sz w:val="24"/>
        </w:rPr>
        <w:t>24</w:t>
      </w:r>
      <w:r>
        <w:rPr>
          <w:rFonts w:hint="eastAsia"/>
          <w:sz w:val="24"/>
        </w:rPr>
        <w:t>小时之内响应，如果需要到现场</w:t>
      </w:r>
      <w:r>
        <w:rPr>
          <w:sz w:val="24"/>
        </w:rPr>
        <w:t>,</w:t>
      </w:r>
      <w:r>
        <w:rPr>
          <w:rFonts w:hint="eastAsia"/>
          <w:sz w:val="24"/>
        </w:rPr>
        <w:t>将安排就近的工程师</w:t>
      </w:r>
      <w:r>
        <w:rPr>
          <w:rFonts w:hint="eastAsia"/>
          <w:sz w:val="24"/>
        </w:rPr>
        <w:t>到现场。保修期后，厂家提供终身维修，并保证零配件的供应。</w:t>
      </w:r>
    </w:p>
    <w:p>
      <w:pPr>
        <w:pStyle w:val="style0"/>
        <w:spacing w:lineRule="auto" w:line="360"/>
        <w:ind w:firstLine="482" w:firstLineChars="20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5.4</w:t>
      </w:r>
      <w:r>
        <w:rPr>
          <w:rFonts w:ascii="宋体" w:hAnsi="宋体" w:hint="eastAsia"/>
          <w:b/>
          <w:sz w:val="24"/>
        </w:rPr>
        <w:t>维修响应时间</w:t>
      </w:r>
    </w:p>
    <w:p>
      <w:pPr>
        <w:pStyle w:val="style0"/>
        <w:spacing w:lineRule="auto" w:line="360"/>
        <w:ind w:firstLine="480" w:firstLineChars="200"/>
        <w:rPr>
          <w:sz w:val="24"/>
        </w:rPr>
      </w:pPr>
      <w:r>
        <w:rPr>
          <w:rFonts w:hint="eastAsia"/>
          <w:sz w:val="24"/>
        </w:rPr>
        <w:t>供方应在</w:t>
      </w:r>
      <w:r>
        <w:rPr>
          <w:sz w:val="24"/>
        </w:rPr>
        <w:t>24</w:t>
      </w:r>
      <w:r>
        <w:rPr>
          <w:rFonts w:hint="eastAsia"/>
          <w:sz w:val="24"/>
        </w:rPr>
        <w:t>小时内对用户的报修申请做出响应。一般性问题应在</w:t>
      </w:r>
      <w:r>
        <w:rPr>
          <w:sz w:val="24"/>
        </w:rPr>
        <w:t>48</w:t>
      </w:r>
      <w:r>
        <w:rPr>
          <w:rFonts w:hint="eastAsia"/>
          <w:sz w:val="24"/>
        </w:rPr>
        <w:t>小时内解决；对于在</w:t>
      </w:r>
      <w:r>
        <w:rPr>
          <w:sz w:val="24"/>
        </w:rPr>
        <w:t>48</w:t>
      </w:r>
      <w:r>
        <w:rPr>
          <w:rFonts w:hint="eastAsia"/>
          <w:sz w:val="24"/>
        </w:rPr>
        <w:t>小时内无法解决的其它较大的问题，应在</w:t>
      </w:r>
      <w:r>
        <w:rPr>
          <w:sz w:val="24"/>
        </w:rPr>
        <w:t>3</w:t>
      </w:r>
      <w:r>
        <w:rPr>
          <w:rFonts w:hint="eastAsia"/>
          <w:sz w:val="24"/>
        </w:rPr>
        <w:t>天内给以解决；对于在</w:t>
      </w:r>
      <w:r>
        <w:rPr>
          <w:sz w:val="24"/>
        </w:rPr>
        <w:t>3</w:t>
      </w:r>
      <w:r>
        <w:rPr>
          <w:rFonts w:hint="eastAsia"/>
          <w:sz w:val="24"/>
        </w:rPr>
        <w:t>天内不能解决的问题，应提出明确的解决方案，得到用户的认可后，在预定的期限内解决</w:t>
      </w:r>
    </w:p>
    <w:p>
      <w:pPr>
        <w:pStyle w:val="style0"/>
        <w:spacing w:lineRule="auto" w:line="360"/>
        <w:rPr>
          <w:rFonts w:ascii="宋体" w:hAnsi="宋体"/>
          <w:sz w:val="24"/>
          <w:szCs w:val="24"/>
        </w:rPr>
      </w:pPr>
    </w:p>
    <w:sectPr>
      <w:pgSz w:w="11906" w:h="16838" w:orient="portrait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A311110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22F3767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2778" w:hanging="108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3704" w:hanging="1440"/>
      </w:pPr>
    </w:lvl>
  </w:abstractNum>
  <w:abstractNum w:abstractNumId="2">
    <w:nsid w:val="00000002"/>
    <w:multiLevelType w:val="multilevel"/>
    <w:tmpl w:val="783E3352"/>
    <w:lvl w:ilvl="0">
      <w:start w:val="1"/>
      <w:numFmt w:val="decimal"/>
      <w:lvlText w:val="%1）"/>
      <w:lvlJc w:val="left"/>
      <w:pPr>
        <w:ind w:left="360" w:hanging="360"/>
      </w:pPr>
      <w:rPr>
        <w:rFonts w:ascii="Times New Roman" w:cs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6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列出段落1"/>
    <w:basedOn w:val="style0"/>
    <w:next w:val="style4097"/>
    <w:qFormat/>
    <w:pPr>
      <w:ind w:firstLine="420" w:firstLineChars="200"/>
    </w:pPr>
    <w:rPr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8">
    <w:name w:val="font01"/>
    <w:basedOn w:val="style65"/>
    <w:next w:val="style4098"/>
    <w:qFormat/>
    <w:rPr>
      <w:rFonts w:ascii="Arial" w:cs="Arial" w:hAnsi="Arial" w:hint="default"/>
      <w:color w:val="000000"/>
      <w:sz w:val="20"/>
      <w:szCs w:val="20"/>
      <w:u w:val="none"/>
    </w:rPr>
  </w:style>
  <w:style w:type="paragraph" w:styleId="style178">
    <w:name w:val="Revision"/>
    <w:next w:val="style178"/>
    <w:uiPriority w:val="99"/>
    <w:pPr/>
    <w:rPr>
      <w:rFonts w:ascii="Times New Roman" w:cs="Times New Roman" w:eastAsia="宋体" w:hAnsi="Times New Roman"/>
      <w:kern w:val="2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1718</Words>
  <Pages>3</Pages>
  <Characters>1978</Characters>
  <Application>WPS Office</Application>
  <DocSecurity>0</DocSecurity>
  <Paragraphs>57</Paragraphs>
  <ScaleCrop>false</ScaleCrop>
  <LinksUpToDate>false</LinksUpToDate>
  <CharactersWithSpaces>2009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2020-07-07T07:49:38Z</dcterms:created>
  <dc:creator>jiong zheng</dc:creator>
  <lastModifiedBy>EML-AL00</lastModifiedBy>
  <dcterms:modified xsi:type="dcterms:W3CDTF">2020-07-07T07:49:38Z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